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宋体" w:eastAsia="方正小标宋简体"/>
          <w:color w:val="000000"/>
          <w:sz w:val="72"/>
          <w:szCs w:val="72"/>
        </w:rPr>
      </w:pPr>
      <w:bookmarkStart w:id="0" w:name="_Toc15377193"/>
      <w:bookmarkStart w:id="1" w:name="_Toc15378441"/>
      <w:bookmarkStart w:id="2" w:name="_Toc15396475"/>
      <w:bookmarkStart w:id="3" w:name="_Toc15377425"/>
      <w:bookmarkStart w:id="4" w:name="_Toc15396597"/>
      <w:bookmarkStart w:id="5" w:name="_Toc23926"/>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宋体" w:eastAsia="方正小标宋简体"/>
          <w:color w:val="000000"/>
          <w:sz w:val="72"/>
          <w:szCs w:val="72"/>
          <w:lang w:eastAsia="zh-CN"/>
        </w:rPr>
      </w:pPr>
      <w:bookmarkStart w:id="6" w:name="_Toc14410"/>
      <w:r>
        <w:rPr>
          <w:rFonts w:hint="eastAsia" w:ascii="方正小标宋简体" w:hAnsi="宋体" w:eastAsia="方正小标宋简体"/>
          <w:color w:val="000000"/>
          <w:sz w:val="72"/>
          <w:szCs w:val="72"/>
          <w:lang w:eastAsia="zh-CN"/>
        </w:rPr>
        <w:t>四川省巴中市</w:t>
      </w:r>
      <w:bookmarkEnd w:id="6"/>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宋体" w:eastAsia="方正小标宋简体"/>
          <w:color w:val="000000"/>
          <w:sz w:val="72"/>
          <w:szCs w:val="72"/>
          <w:lang w:eastAsia="zh-CN"/>
        </w:rPr>
      </w:pPr>
      <w:bookmarkStart w:id="7" w:name="_Toc23284"/>
      <w:r>
        <w:rPr>
          <w:rFonts w:hint="eastAsia" w:ascii="方正小标宋简体" w:hAnsi="宋体" w:eastAsia="方正小标宋简体"/>
          <w:color w:val="000000"/>
          <w:sz w:val="72"/>
          <w:szCs w:val="72"/>
          <w:lang w:eastAsia="zh-CN"/>
        </w:rPr>
        <w:t>城市管理行政执法局</w:t>
      </w:r>
      <w:bookmarkEnd w:id="7"/>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ascii="方正小标宋简体" w:hAnsi="宋体" w:eastAsia="方正小标宋简体"/>
          <w:color w:val="000000"/>
          <w:sz w:val="72"/>
          <w:szCs w:val="72"/>
        </w:rPr>
      </w:pPr>
      <w:bookmarkStart w:id="8" w:name="_Toc10353"/>
      <w:r>
        <w:rPr>
          <w:rFonts w:hint="eastAsia" w:ascii="方正小标宋简体" w:hAnsi="宋体" w:eastAsia="方正小标宋简体"/>
          <w:color w:val="000000"/>
          <w:sz w:val="72"/>
          <w:szCs w:val="72"/>
          <w:lang w:eastAsia="zh-CN"/>
        </w:rPr>
        <w:t>部门</w:t>
      </w:r>
      <w:r>
        <w:rPr>
          <w:rFonts w:hint="eastAsia" w:ascii="方正小标宋简体" w:hAnsi="宋体" w:eastAsia="方正小标宋简体"/>
          <w:color w:val="000000"/>
          <w:sz w:val="72"/>
          <w:szCs w:val="72"/>
        </w:rPr>
        <w:t>决算</w:t>
      </w:r>
      <w:bookmarkEnd w:id="8"/>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 xml:space="preserve">年 </w:t>
      </w:r>
      <w:r>
        <w:rPr>
          <w:rFonts w:hint="eastAsia"/>
          <w:lang w:val="en-US" w:eastAsia="zh-CN"/>
        </w:rPr>
        <w:t>9</w:t>
      </w:r>
      <w:r>
        <w:rPr>
          <w:rFonts w:hint="eastAsia"/>
        </w:rPr>
        <w:t xml:space="preserve">月 </w:t>
      </w:r>
      <w:r>
        <w:rPr>
          <w:rFonts w:hint="eastAsia"/>
          <w:lang w:val="en-US" w:eastAsia="zh-CN"/>
        </w:rPr>
        <w:t>15</w:t>
      </w:r>
      <w:r>
        <w:rPr>
          <w:rFonts w:hint="eastAsia"/>
        </w:rPr>
        <w:t>日</w:t>
      </w:r>
    </w:p>
    <w:p/>
    <w:sdt>
      <w:sdtPr>
        <w:rPr>
          <w:rFonts w:ascii="宋体" w:hAnsi="宋体" w:eastAsia="宋体" w:cs="Times New Roman"/>
          <w:kern w:val="2"/>
          <w:sz w:val="21"/>
          <w:szCs w:val="24"/>
          <w:lang w:val="en-US" w:eastAsia="zh-CN" w:bidi="ar-SA"/>
        </w:rPr>
        <w:id w:val="147473353"/>
        <w15:color w:val="DBDBDB"/>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9" w:name="_Toc15377196"/>
          <w:bookmarkStart w:id="10" w:name="_Toc15396599"/>
        </w:p>
        <w:p>
          <w:pPr>
            <w:pStyle w:val="18"/>
            <w:tabs>
              <w:tab w:val="right" w:leader="dot" w:pos="8306"/>
            </w:tabs>
          </w:pPr>
          <w:r>
            <w:fldChar w:fldCharType="begin"/>
          </w:r>
          <w:r>
            <w:instrText xml:space="preserve">TOC \o "1-3" \h \u </w:instrText>
          </w:r>
          <w:r>
            <w:fldChar w:fldCharType="separate"/>
          </w:r>
        </w:p>
        <w:p>
          <w:pPr>
            <w:pStyle w:val="18"/>
            <w:tabs>
              <w:tab w:val="right" w:leader="dot" w:pos="8306"/>
            </w:tabs>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_Toc29370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第一部分 部门概况</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_Toc29370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t>一、基本职能及主要工作</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t>5</w:t>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_Toc16914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二、机构设置</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_Toc16914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8"/>
            <w:tabs>
              <w:tab w:val="right" w:leader="dot" w:pos="8306"/>
            </w:tabs>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_Toc4210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第二部分 2020年度部门决算情况说明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_Toc4210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7</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_Toc20855 </w:instrText>
          </w:r>
          <w:r>
            <w:rPr>
              <w:rFonts w:hint="eastAsia" w:ascii="仿宋" w:hAnsi="仿宋" w:eastAsia="仿宋" w:cs="Times New Roman"/>
              <w:color w:val="000000"/>
              <w:kern w:val="0"/>
              <w:sz w:val="32"/>
              <w:szCs w:val="32"/>
              <w:lang w:val="en-US" w:eastAsia="zh-CN" w:bidi="ar-SA"/>
            </w:rPr>
            <w:fldChar w:fldCharType="separate"/>
          </w:r>
          <w:r>
            <w:rPr>
              <w:rFonts w:hint="default" w:ascii="仿宋" w:hAnsi="仿宋" w:eastAsia="仿宋" w:cs="Times New Roman"/>
              <w:color w:val="000000"/>
              <w:kern w:val="0"/>
              <w:sz w:val="32"/>
              <w:szCs w:val="32"/>
              <w:lang w:val="en-US" w:eastAsia="zh-CN" w:bidi="ar-SA"/>
            </w:rPr>
            <w:t xml:space="preserve">一、 </w:t>
          </w:r>
          <w:r>
            <w:rPr>
              <w:rFonts w:hint="eastAsia" w:ascii="仿宋" w:hAnsi="仿宋" w:eastAsia="仿宋" w:cs="Times New Roman"/>
              <w:color w:val="000000"/>
              <w:kern w:val="0"/>
              <w:sz w:val="32"/>
              <w:szCs w:val="32"/>
              <w:lang w:val="en-US" w:eastAsia="zh-CN" w:bidi="ar-SA"/>
            </w:rPr>
            <w:t>收入支出决算总体情况说明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_Toc20855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7</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_Toc23673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二、收入决算情况说明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_Toc23673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7</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_Toc26590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三</w:t>
          </w:r>
          <w:r>
            <w:rPr>
              <w:rFonts w:hint="default" w:ascii="仿宋" w:hAnsi="仿宋" w:eastAsia="仿宋" w:cs="Times New Roman"/>
              <w:color w:val="000000"/>
              <w:kern w:val="0"/>
              <w:sz w:val="32"/>
              <w:szCs w:val="32"/>
              <w:lang w:val="en-US" w:eastAsia="zh-CN" w:bidi="ar-SA"/>
            </w:rPr>
            <w:t xml:space="preserve">、 </w:t>
          </w:r>
          <w:r>
            <w:rPr>
              <w:rFonts w:hint="eastAsia" w:ascii="仿宋" w:hAnsi="仿宋" w:eastAsia="仿宋" w:cs="Times New Roman"/>
              <w:color w:val="000000"/>
              <w:kern w:val="0"/>
              <w:sz w:val="32"/>
              <w:szCs w:val="32"/>
              <w:lang w:val="en-US" w:eastAsia="zh-CN" w:bidi="ar-SA"/>
            </w:rPr>
            <w:t>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_Toc26590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7</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_Toc20882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四、财政拨款收入支出决算总体情况说明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_Toc20882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8</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_Toc2706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五、一般公共预算财政拨款支出决算情况说明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_Toc2706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9</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_Toc23829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六、一般公共预算财政拨款基本支出决算情况说明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_Toc23829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12</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_Toc16724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七、“三公”经费财政拨款支出决算情况说明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_Toc16724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13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_Toc6217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八、政府性基金预算支出决算情况说明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_Toc6217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14</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_Toc7589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九、 国有资本经营预算支出决算情况说明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_Toc7589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14</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_Toc26072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十、其他重要事项的情况说明</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_Toc26072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15</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8"/>
            <w:tabs>
              <w:tab w:val="right" w:leader="dot" w:pos="8306"/>
            </w:tabs>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_Toc2529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第三部分 名词解释</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_Toc2529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24</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8"/>
            <w:tabs>
              <w:tab w:val="right" w:leader="dot" w:pos="8306"/>
            </w:tabs>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_Toc17071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第四部分 附件</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t>2</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t>7</w:t>
          </w:r>
        </w:p>
        <w:p>
          <w:pPr>
            <w:pStyle w:val="18"/>
            <w:tabs>
              <w:tab w:val="right" w:leader="dot" w:pos="8306"/>
            </w:tabs>
            <w:ind w:firstLine="640" w:firstLineChars="2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_Toc18664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附件1</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t>2</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t>7</w:t>
          </w:r>
        </w:p>
        <w:p>
          <w:pPr>
            <w:pStyle w:val="18"/>
            <w:tabs>
              <w:tab w:val="right" w:leader="dot" w:pos="8306"/>
            </w:tabs>
            <w:ind w:firstLine="640" w:firstLineChars="2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_Toc383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附件2</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t>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t>8</w:t>
          </w:r>
        </w:p>
        <w:p>
          <w:pPr>
            <w:pStyle w:val="18"/>
            <w:tabs>
              <w:tab w:val="right" w:leader="dot" w:pos="8306"/>
            </w:tabs>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_Toc19061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第五部分 附表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_Toc19061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_Toc2130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一、收入支出决算总表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_Toc2130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_Toc29195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二、收入决算表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_Toc29195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_Toc26852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三、支出决算表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_Toc26852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_Toc20092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四、财政拨款收入支出决算总表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_Toc20092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_Toc19639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五、财政拨款支出决算明细表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_Toc19639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_Toc23727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六、一般公共预算财政拨款支出决算表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_Toc23727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_Toc1467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七、一般公共预算财政拨款支出决算明细表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_Toc1467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_Toc21739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八、一般公共预算财政拨款基本支出决算表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_Toc21739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_Toc18636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九、一般公共预算财政拨款项目支出决算表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_Toc18636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_Toc18315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十、一般公共预算财政拨款“三公”经费支出决算表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_Toc18315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_Toc28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十一、政府性基金预算财政拨款收入支出决算表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_Toc28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_Toc11307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十二、政府性基金预算财政拨款“三公”经费支出决算表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_Toc11307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pPr>
            <w:pStyle w:val="19"/>
            <w:tabs>
              <w:tab w:val="right" w:leader="dot" w:pos="8306"/>
            </w:tabs>
            <w:ind w:firstLine="320" w:firstLineChars="100"/>
            <w:rPr>
              <w:rFonts w:hint="eastAsia" w:ascii="仿宋" w:hAnsi="仿宋" w:eastAsia="仿宋" w:cs="Times New Roman"/>
              <w:color w:val="000000"/>
              <w:kern w:val="0"/>
              <w:sz w:val="32"/>
              <w:szCs w:val="32"/>
              <w:lang w:val="en-US" w:eastAsia="zh-CN" w:bidi="ar-SA"/>
            </w:rPr>
          </w:pP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HYPERLINK \l _Toc2599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十三、国有资本经营预算财政拨款支出决算表</w:t>
          </w:r>
          <w:r>
            <w:rPr>
              <w:rFonts w:hint="eastAsia" w:ascii="仿宋" w:hAnsi="仿宋" w:eastAsia="仿宋" w:cs="Times New Roman"/>
              <w:color w:val="000000"/>
              <w:kern w:val="0"/>
              <w:sz w:val="32"/>
              <w:szCs w:val="32"/>
              <w:lang w:val="en-US" w:eastAsia="zh-CN" w:bidi="ar-SA"/>
            </w:rPr>
            <w:tab/>
          </w:r>
          <w:r>
            <w:rPr>
              <w:rFonts w:hint="eastAsia" w:ascii="仿宋" w:hAnsi="仿宋" w:eastAsia="仿宋" w:cs="Times New Roman"/>
              <w:color w:val="000000"/>
              <w:kern w:val="0"/>
              <w:sz w:val="32"/>
              <w:szCs w:val="32"/>
              <w:lang w:val="en-US" w:eastAsia="zh-CN" w:bidi="ar-SA"/>
            </w:rPr>
            <w:fldChar w:fldCharType="begin"/>
          </w:r>
          <w:r>
            <w:rPr>
              <w:rFonts w:hint="eastAsia" w:ascii="仿宋" w:hAnsi="仿宋" w:eastAsia="仿宋" w:cs="Times New Roman"/>
              <w:color w:val="000000"/>
              <w:kern w:val="0"/>
              <w:sz w:val="32"/>
              <w:szCs w:val="32"/>
              <w:lang w:val="en-US" w:eastAsia="zh-CN" w:bidi="ar-SA"/>
            </w:rPr>
            <w:instrText xml:space="preserve"> PAGEREF _Toc2599 \h </w:instrText>
          </w:r>
          <w:r>
            <w:rPr>
              <w:rFonts w:hint="eastAsia" w:ascii="仿宋" w:hAnsi="仿宋" w:eastAsia="仿宋" w:cs="Times New Roman"/>
              <w:color w:val="000000"/>
              <w:kern w:val="0"/>
              <w:sz w:val="32"/>
              <w:szCs w:val="32"/>
              <w:lang w:val="en-US" w:eastAsia="zh-CN" w:bidi="ar-SA"/>
            </w:rPr>
            <w:fldChar w:fldCharType="separate"/>
          </w:r>
          <w:r>
            <w:rPr>
              <w:rFonts w:hint="eastAsia" w:ascii="仿宋" w:hAnsi="仿宋" w:eastAsia="仿宋" w:cs="Times New Roman"/>
              <w:color w:val="000000"/>
              <w:kern w:val="0"/>
              <w:sz w:val="32"/>
              <w:szCs w:val="32"/>
              <w:lang w:val="en-US" w:eastAsia="zh-CN" w:bidi="ar-SA"/>
            </w:rPr>
            <w:t>43</w:t>
          </w:r>
          <w:r>
            <w:rPr>
              <w:rFonts w:hint="eastAsia" w:ascii="仿宋" w:hAnsi="仿宋" w:eastAsia="仿宋" w:cs="Times New Roman"/>
              <w:color w:val="000000"/>
              <w:kern w:val="0"/>
              <w:sz w:val="32"/>
              <w:szCs w:val="32"/>
              <w:lang w:val="en-US" w:eastAsia="zh-CN" w:bidi="ar-SA"/>
            </w:rPr>
            <w:fldChar w:fldCharType="end"/>
          </w:r>
          <w:r>
            <w:rPr>
              <w:rFonts w:hint="eastAsia" w:ascii="仿宋" w:hAnsi="仿宋" w:eastAsia="仿宋" w:cs="Times New Roman"/>
              <w:color w:val="000000"/>
              <w:kern w:val="0"/>
              <w:sz w:val="32"/>
              <w:szCs w:val="32"/>
              <w:lang w:val="en-US" w:eastAsia="zh-CN" w:bidi="ar-SA"/>
            </w:rPr>
            <w:fldChar w:fldCharType="end"/>
          </w:r>
        </w:p>
        <w:p>
          <w: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14"/>
          <w:rFonts w:hint="eastAsia" w:ascii="方正小标宋简体" w:hAnsi="方正小标宋简体" w:eastAsia="方正小标宋简体" w:cs="方正小标宋简体"/>
          <w:b/>
          <w:bCs w:val="0"/>
        </w:rPr>
      </w:pPr>
      <w:bookmarkStart w:id="11" w:name="_Toc29370"/>
      <w:r>
        <w:rPr>
          <w:rFonts w:hint="eastAsia" w:ascii="方正小标宋简体" w:hAnsi="方正小标宋简体" w:eastAsia="方正小标宋简体" w:cs="方正小标宋简体"/>
          <w:b w:val="0"/>
        </w:rPr>
        <w:t xml:space="preserve">第一部分 </w:t>
      </w:r>
      <w:r>
        <w:rPr>
          <w:rStyle w:val="14"/>
          <w:rFonts w:hint="eastAsia" w:ascii="方正小标宋简体" w:hAnsi="方正小标宋简体" w:eastAsia="方正小标宋简体" w:cs="方正小标宋简体"/>
          <w:b w:val="0"/>
          <w:bCs w:val="0"/>
        </w:rPr>
        <w:t>部门概况</w:t>
      </w:r>
      <w:bookmarkEnd w:id="9"/>
      <w:bookmarkEnd w:id="10"/>
      <w:bookmarkEnd w:id="11"/>
    </w:p>
    <w:p>
      <w:pPr>
        <w:widowControl/>
        <w:jc w:val="left"/>
        <w:rPr>
          <w:rFonts w:ascii="黑体" w:eastAsia="黑体"/>
          <w:color w:val="000000"/>
          <w:sz w:val="32"/>
          <w:szCs w:val="32"/>
        </w:rPr>
      </w:pP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简体" w:hAnsi="方正黑体简体" w:eastAsia="方正黑体简体" w:cs="方正黑体简体"/>
          <w:b/>
          <w:bCs/>
          <w:color w:val="000000"/>
          <w:kern w:val="0"/>
          <w:sz w:val="32"/>
          <w:szCs w:val="32"/>
          <w:lang w:val="en-US" w:eastAsia="zh-CN" w:bidi="ar-SA"/>
        </w:rPr>
      </w:pPr>
      <w:bookmarkStart w:id="12" w:name="_Toc15396600"/>
      <w:bookmarkStart w:id="13" w:name="_Toc15377197"/>
      <w:r>
        <w:rPr>
          <w:rFonts w:hint="eastAsia" w:ascii="方正黑体简体" w:hAnsi="方正黑体简体" w:eastAsia="方正黑体简体" w:cs="方正黑体简体"/>
          <w:b/>
          <w:bCs/>
          <w:color w:val="000000"/>
          <w:kern w:val="0"/>
          <w:sz w:val="32"/>
          <w:szCs w:val="32"/>
          <w:lang w:val="en-US" w:eastAsia="zh-CN" w:bidi="ar-SA"/>
        </w:rPr>
        <w:t>基本职能及主要工作</w:t>
      </w:r>
      <w:bookmarkEnd w:id="12"/>
      <w:bookmarkEnd w:id="13"/>
      <w:bookmarkStart w:id="14" w:name="_Toc15377198"/>
      <w:bookmarkStart w:id="15" w:name="_Toc15378445"/>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（一）主要职能。</w:t>
      </w:r>
      <w:bookmarkEnd w:id="14"/>
      <w:bookmarkEnd w:id="15"/>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Times New Roman" w:hAnsi="Times New Roman" w:eastAsia="方正仿宋简体" w:cs="Times New Roman"/>
          <w:color w:val="000000"/>
          <w:kern w:val="0"/>
          <w:sz w:val="32"/>
          <w:szCs w:val="32"/>
          <w:lang w:val="en-US" w:eastAsia="zh-CN" w:bidi="ar-SA"/>
        </w:rPr>
      </w:pPr>
      <w:r>
        <w:rPr>
          <w:rFonts w:hint="default" w:ascii="Times New Roman" w:hAnsi="Times New Roman" w:eastAsia="方正仿宋简体" w:cs="Times New Roman"/>
          <w:color w:val="000000"/>
          <w:kern w:val="0"/>
          <w:sz w:val="32"/>
          <w:szCs w:val="32"/>
          <w:lang w:val="en-US" w:eastAsia="zh-CN" w:bidi="ar-SA"/>
        </w:rPr>
        <w:t>根据中共四川省委机构编制委员会《关于调整巴中市政府工作部门及挂牌机构的批复》</w:t>
      </w:r>
      <w:r>
        <w:rPr>
          <w:rFonts w:hint="eastAsia" w:eastAsia="方正仿宋简体" w:cs="Times New Roman"/>
          <w:color w:val="000000"/>
          <w:kern w:val="0"/>
          <w:sz w:val="32"/>
          <w:szCs w:val="32"/>
          <w:lang w:val="en-US" w:eastAsia="zh-CN" w:bidi="ar-SA"/>
        </w:rPr>
        <w:t>（</w:t>
      </w:r>
      <w:r>
        <w:rPr>
          <w:rFonts w:hint="default" w:ascii="Times New Roman" w:hAnsi="Times New Roman" w:eastAsia="方正仿宋简体" w:cs="Times New Roman"/>
          <w:color w:val="000000"/>
          <w:kern w:val="0"/>
          <w:sz w:val="32"/>
          <w:szCs w:val="32"/>
          <w:lang w:val="en-US" w:eastAsia="zh-CN" w:bidi="ar-SA"/>
        </w:rPr>
        <w:t>川编发〔2012〕1号</w:t>
      </w:r>
      <w:r>
        <w:rPr>
          <w:rFonts w:hint="eastAsia" w:eastAsia="方正仿宋简体" w:cs="Times New Roman"/>
          <w:color w:val="000000"/>
          <w:kern w:val="0"/>
          <w:sz w:val="32"/>
          <w:szCs w:val="32"/>
          <w:lang w:val="en-US" w:eastAsia="zh-CN" w:bidi="ar-SA"/>
        </w:rPr>
        <w:t>）</w:t>
      </w:r>
      <w:r>
        <w:rPr>
          <w:rFonts w:hint="default" w:ascii="Times New Roman" w:hAnsi="Times New Roman" w:eastAsia="方正仿宋简体" w:cs="Times New Roman"/>
          <w:color w:val="000000"/>
          <w:kern w:val="0"/>
          <w:sz w:val="32"/>
          <w:szCs w:val="32"/>
          <w:lang w:val="en-US" w:eastAsia="zh-CN" w:bidi="ar-SA"/>
        </w:rPr>
        <w:t>，设立巴中市城市管理行政执法局</w:t>
      </w:r>
      <w:r>
        <w:rPr>
          <w:rFonts w:hint="eastAsia" w:eastAsia="方正仿宋简体" w:cs="Times New Roman"/>
          <w:color w:val="000000"/>
          <w:kern w:val="0"/>
          <w:sz w:val="32"/>
          <w:szCs w:val="32"/>
          <w:lang w:val="en-US" w:eastAsia="zh-CN" w:bidi="ar-SA"/>
        </w:rPr>
        <w:t>（</w:t>
      </w:r>
      <w:r>
        <w:rPr>
          <w:rFonts w:hint="default" w:ascii="Times New Roman" w:hAnsi="Times New Roman" w:eastAsia="方正仿宋简体" w:cs="Times New Roman"/>
          <w:color w:val="000000"/>
          <w:kern w:val="0"/>
          <w:sz w:val="32"/>
          <w:szCs w:val="32"/>
          <w:lang w:val="en-US" w:eastAsia="zh-CN" w:bidi="ar-SA"/>
        </w:rPr>
        <w:t>简称市城管执法局</w:t>
      </w:r>
      <w:r>
        <w:rPr>
          <w:rFonts w:hint="eastAsia" w:eastAsia="方正仿宋简体" w:cs="Times New Roman"/>
          <w:color w:val="000000"/>
          <w:kern w:val="0"/>
          <w:sz w:val="32"/>
          <w:szCs w:val="32"/>
          <w:lang w:val="en-US" w:eastAsia="zh-CN" w:bidi="ar-SA"/>
        </w:rPr>
        <w:t>）</w:t>
      </w:r>
      <w:r>
        <w:rPr>
          <w:rFonts w:hint="default" w:ascii="Times New Roman" w:hAnsi="Times New Roman" w:eastAsia="方正仿宋简体" w:cs="Times New Roman"/>
          <w:color w:val="000000"/>
          <w:kern w:val="0"/>
          <w:sz w:val="32"/>
          <w:szCs w:val="32"/>
          <w:lang w:val="en-US" w:eastAsia="zh-CN" w:bidi="ar-SA"/>
        </w:rPr>
        <w:t>，为市政府工作部门。</w:t>
      </w:r>
      <w:r>
        <w:rPr>
          <w:rFonts w:hint="default" w:ascii="Times New Roman" w:hAnsi="Times New Roman" w:eastAsia="方正仿宋简体" w:cs="Times New Roman"/>
          <w:color w:val="000000"/>
          <w:kern w:val="0"/>
          <w:sz w:val="32"/>
          <w:szCs w:val="32"/>
          <w:lang w:val="en-US" w:eastAsia="zh-CN" w:bidi="ar-SA"/>
        </w:rPr>
        <w:br w:type="textWrapping"/>
      </w:r>
      <w:r>
        <w:rPr>
          <w:rFonts w:hint="default" w:ascii="Times New Roman" w:hAnsi="Times New Roman" w:eastAsia="方正仿宋简体" w:cs="Times New Roman"/>
          <w:color w:val="000000"/>
          <w:kern w:val="0"/>
          <w:sz w:val="32"/>
          <w:szCs w:val="32"/>
          <w:lang w:val="en-US" w:eastAsia="zh-CN" w:bidi="ar-SA"/>
        </w:rPr>
        <w:t>    巴中市城市管理行政执法局成立于2011年8月，负责依法行使城市规划区内的城市规划和建设、房地产、装饰装修、市政工程、公共设施、户外广告、违规占道等城市综合行政管理和城乡规划、建设、房地产业、公共场所经营、户外广告等行政处罚权。</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color w:val="000000"/>
          <w:kern w:val="0"/>
          <w:sz w:val="32"/>
          <w:szCs w:val="32"/>
          <w:lang w:val="en-US" w:eastAsia="zh-CN" w:bidi="ar-SA"/>
        </w:rPr>
      </w:pPr>
      <w:bookmarkStart w:id="16" w:name="_Toc15378446"/>
      <w:bookmarkStart w:id="17" w:name="_Toc15377199"/>
      <w:r>
        <w:rPr>
          <w:rFonts w:hint="eastAsia" w:ascii="楷体" w:hAnsi="楷体" w:eastAsia="楷体" w:cs="楷体"/>
          <w:color w:val="000000"/>
          <w:kern w:val="0"/>
          <w:sz w:val="32"/>
          <w:szCs w:val="32"/>
          <w:lang w:val="en-US" w:eastAsia="zh-CN" w:bidi="ar-SA"/>
        </w:rPr>
        <w:t>（二）2020年重点工作完成情况。</w:t>
      </w:r>
      <w:bookmarkEnd w:id="16"/>
      <w:bookmarkEnd w:id="17"/>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方正仿宋简体" w:cs="Times New Roman"/>
          <w:color w:val="000000"/>
          <w:kern w:val="0"/>
          <w:sz w:val="32"/>
          <w:szCs w:val="32"/>
          <w:lang w:val="en-US" w:eastAsia="zh-CN" w:bidi="ar-SA"/>
        </w:rPr>
      </w:pPr>
      <w:bookmarkStart w:id="18" w:name="_Toc16914"/>
      <w:bookmarkStart w:id="19" w:name="_Toc15377200"/>
      <w:bookmarkStart w:id="20" w:name="_Toc15396601"/>
      <w:r>
        <w:rPr>
          <w:rFonts w:hint="eastAsia" w:ascii="Times New Roman" w:hAnsi="Times New Roman" w:eastAsia="方正仿宋简体" w:cs="Times New Roman"/>
          <w:b/>
          <w:sz w:val="32"/>
          <w:szCs w:val="32"/>
        </w:rPr>
        <w:t>1.</w:t>
      </w:r>
      <w:r>
        <w:rPr>
          <w:rFonts w:ascii="Times New Roman" w:hAnsi="Times New Roman" w:eastAsia="方正仿宋简体" w:cs="Times New Roman"/>
          <w:b/>
          <w:sz w:val="32"/>
          <w:szCs w:val="32"/>
        </w:rPr>
        <w:t>创新城市管理机制。</w:t>
      </w:r>
      <w:r>
        <w:rPr>
          <w:rFonts w:hint="eastAsia" w:ascii="Times New Roman" w:hAnsi="Times New Roman" w:eastAsia="方正仿宋简体" w:cs="Times New Roman"/>
          <w:color w:val="000000"/>
          <w:kern w:val="0"/>
          <w:sz w:val="32"/>
          <w:szCs w:val="32"/>
          <w:lang w:val="en-US" w:eastAsia="zh-CN" w:bidi="ar-SA"/>
        </w:rPr>
        <w:t>一是成立了以市长何平为第一召集人，分管建设、执法的副市长为第二召集人的市城市管理联席会议制度，加强城市问题的综合研判、高位协调、统筹督办。二是进一步下沉城管执法力量，在巴州区江北、回风、宕梁和经开区时新四个街道办事处推广街巷长体系，大街有街长，小巷有巷长，覆盖街巷115条，建立“街乡吹哨、部门报到”机制，为基层提供精准化、精细化的服务，打通城市治理“最后一公里”。三是大力探索城管“党建+”，直属分局党总支、经开区分局党总支积极探索城管党建+，先后推出“城管社区工作室”、“城管基层治理工作室”、“城管社区共管站”，动员街道、社区、企业中的党组织和党员带头参与城市治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b/>
          <w:sz w:val="32"/>
          <w:szCs w:val="32"/>
        </w:rPr>
        <w:t>2.</w:t>
      </w:r>
      <w:r>
        <w:rPr>
          <w:rFonts w:ascii="Times New Roman" w:hAnsi="Times New Roman" w:eastAsia="方正仿宋简体" w:cs="Times New Roman"/>
          <w:b/>
          <w:sz w:val="32"/>
          <w:szCs w:val="32"/>
        </w:rPr>
        <w:t>改进城市管理方式。</w:t>
      </w:r>
      <w:r>
        <w:rPr>
          <w:rFonts w:hint="eastAsia" w:ascii="Times New Roman" w:hAnsi="Times New Roman" w:eastAsia="方正仿宋简体" w:cs="Times New Roman"/>
          <w:color w:val="000000"/>
          <w:kern w:val="0"/>
          <w:sz w:val="32"/>
          <w:szCs w:val="32"/>
          <w:lang w:val="en-US" w:eastAsia="zh-CN" w:bidi="ar-SA"/>
        </w:rPr>
        <w:t>一是强化用情报和数据来主导管理工作，完成市级数字城管向智慧城管转型升级，督促县区依托市级数字城管软件建成本级数字城管平台，实现省、市、县数字城管数据互联互通。二是推行“潮汐式”摊区、夜市“十统一”管理，设置小百货一条街、美食一条街，解决零就业家庭、下岗工人就业1900人。三是积极优化营商环境，提高店招店牌设置管理、占道审批效率，探索制定老旧小区治漏可行性办法，深化为民服务解难题。</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b/>
          <w:sz w:val="32"/>
          <w:szCs w:val="32"/>
        </w:rPr>
        <w:t>3.</w:t>
      </w:r>
      <w:r>
        <w:rPr>
          <w:rFonts w:ascii="Times New Roman" w:hAnsi="Times New Roman" w:eastAsia="方正仿宋简体" w:cs="Times New Roman"/>
          <w:b/>
          <w:sz w:val="32"/>
          <w:szCs w:val="32"/>
        </w:rPr>
        <w:t>提升城市执法效能。</w:t>
      </w:r>
      <w:r>
        <w:rPr>
          <w:rFonts w:hint="eastAsia" w:ascii="仿宋" w:hAnsi="仿宋" w:eastAsia="仿宋" w:cs="Times New Roman"/>
          <w:kern w:val="0"/>
          <w:sz w:val="32"/>
          <w:szCs w:val="32"/>
        </w:rPr>
        <w:t>一</w:t>
      </w:r>
      <w:r>
        <w:rPr>
          <w:rFonts w:hint="eastAsia" w:ascii="Times New Roman" w:hAnsi="Times New Roman" w:eastAsia="方正仿宋简体" w:cs="Times New Roman"/>
          <w:color w:val="000000"/>
          <w:kern w:val="0"/>
          <w:sz w:val="32"/>
          <w:szCs w:val="32"/>
          <w:lang w:val="en-US" w:eastAsia="zh-CN" w:bidi="ar-SA"/>
        </w:rPr>
        <w:t>是大力落实行政执法“三项制度”，配备5G执法记录仪52台，举行案审会5次，提升执法规范化水平。二是严格执法，深化“两拆一增”和“三违”整治，拆除妨碍公共空间展开的围墙7400米，增加绿化面积1.4万平方米，拆除违法建设12.3万平方米，强力查处三违、大气污染相关案件27件，提高行政处罚权履行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b/>
          <w:sz w:val="32"/>
          <w:szCs w:val="32"/>
        </w:rPr>
        <w:t>4.</w:t>
      </w:r>
      <w:r>
        <w:rPr>
          <w:rFonts w:ascii="Times New Roman" w:hAnsi="Times New Roman" w:eastAsia="方正仿宋简体" w:cs="Times New Roman"/>
          <w:b/>
          <w:sz w:val="32"/>
          <w:szCs w:val="32"/>
        </w:rPr>
        <w:t>加强城管队伍建设。</w:t>
      </w:r>
      <w:r>
        <w:rPr>
          <w:rFonts w:hint="eastAsia" w:ascii="Times New Roman" w:hAnsi="Times New Roman" w:eastAsia="方正仿宋简体" w:cs="Times New Roman"/>
          <w:color w:val="000000"/>
          <w:kern w:val="0"/>
          <w:sz w:val="32"/>
          <w:szCs w:val="32"/>
          <w:lang w:val="en-US" w:eastAsia="zh-CN" w:bidi="ar-SA"/>
        </w:rPr>
        <w:t>一是探索城管党建+，设立城管社区工作室、城管小区基层治理室、城管女子解语室、城管共管站和居民议事厅，每周三固定为“城管开放日”，构建“城管主导、群众主体、物业参与、部门联动、多元化解”机制，最大程度通过依靠群众实现为了群众，累计解决群众诉求67件，办结率95.5%，受到省直机关工委的高度评价。二是采取分层分专题学习，组织办公室人员能力提升班、执法办案人员能力培训班、党务工作人员培训班、协助执法人员能力提升班等4个专题培训班，累计集中学习45场次，培训人员800人次。三是强化作风纪律建设，局党组专题研究党风廉政建设和反腐败工作两次，落实纪检委员轮流值周巡察制度，20名纪检委轮流值周巡察，印发《专项通报》41期，督促整改问题185个。</w:t>
      </w:r>
    </w:p>
    <w:p>
      <w:pPr>
        <w:pStyle w:val="3"/>
        <w:ind w:firstLine="640" w:firstLineChars="200"/>
        <w:rPr>
          <w:rStyle w:val="15"/>
          <w:rFonts w:hint="eastAsia" w:ascii="方正黑体简体" w:hAnsi="方正黑体简体" w:eastAsia="方正黑体简体" w:cs="方正黑体简体"/>
          <w:b w:val="0"/>
          <w:bCs w:val="0"/>
        </w:rPr>
      </w:pPr>
      <w:r>
        <w:rPr>
          <w:rFonts w:hint="eastAsia" w:ascii="方正黑体简体" w:hAnsi="方正黑体简体" w:eastAsia="方正黑体简体" w:cs="方正黑体简体"/>
          <w:b w:val="0"/>
          <w:color w:val="000000"/>
        </w:rPr>
        <w:t>二、机</w:t>
      </w:r>
      <w:r>
        <w:rPr>
          <w:rStyle w:val="15"/>
          <w:rFonts w:hint="eastAsia" w:ascii="方正黑体简体" w:hAnsi="方正黑体简体" w:eastAsia="方正黑体简体" w:cs="方正黑体简体"/>
          <w:b w:val="0"/>
          <w:bCs w:val="0"/>
        </w:rPr>
        <w:t>构设置</w:t>
      </w:r>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巴中市城市管理行政执法局下属二级单位4个，其中，参照公务员法管理的事业单位3个，其他事业单位1个。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纳入巴中市城市管理行政执法局2020年度部门决算编制范围的二级预算单位包括：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bookmarkStart w:id="21" w:name="_Toc11683"/>
      <w:r>
        <w:rPr>
          <w:rFonts w:hint="eastAsia" w:ascii="Times New Roman" w:hAnsi="Times New Roman" w:eastAsia="方正仿宋简体" w:cs="Times New Roman"/>
          <w:color w:val="000000"/>
          <w:kern w:val="0"/>
          <w:sz w:val="32"/>
          <w:szCs w:val="32"/>
          <w:lang w:val="en-US" w:eastAsia="zh-CN" w:bidi="ar-SA"/>
        </w:rPr>
        <w:t>1.巴中市城市管理行政执法局直属执法分局</w:t>
      </w:r>
      <w:bookmarkEnd w:id="21"/>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bookmarkStart w:id="22" w:name="_Toc7742"/>
      <w:bookmarkStart w:id="23" w:name="_Toc15306277"/>
      <w:bookmarkStart w:id="24" w:name="_Toc15377203"/>
      <w:bookmarkStart w:id="25" w:name="_Toc15378450"/>
      <w:bookmarkStart w:id="26" w:name="_Toc15377434"/>
      <w:r>
        <w:rPr>
          <w:rFonts w:hint="eastAsia" w:ascii="Times New Roman" w:hAnsi="Times New Roman" w:eastAsia="方正仿宋简体" w:cs="Times New Roman"/>
          <w:color w:val="000000"/>
          <w:kern w:val="0"/>
          <w:sz w:val="32"/>
          <w:szCs w:val="32"/>
          <w:lang w:val="en-US" w:eastAsia="zh-CN" w:bidi="ar-SA"/>
        </w:rPr>
        <w:t>2.巴中市城市管理公众服务中心</w:t>
      </w:r>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3.巴中市城市管理行政执法局巴州区分局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4.巴中市城市管理行政执法局经开区分局</w:t>
      </w:r>
    </w:p>
    <w:p>
      <w:pPr>
        <w:pStyle w:val="4"/>
        <w:numPr>
          <w:ilvl w:val="0"/>
          <w:numId w:val="0"/>
        </w:numPr>
        <w:adjustRightInd w:val="0"/>
        <w:snapToGrid w:val="0"/>
        <w:spacing w:before="93" w:line="600" w:lineRule="exact"/>
        <w:ind w:left="672" w:leftChars="0"/>
        <w:outlineLvl w:val="2"/>
        <w:rPr>
          <w:rFonts w:hint="eastAsia" w:ascii="仿宋" w:hAnsi="仿宋" w:eastAsia="仿宋"/>
          <w:color w:val="000000"/>
          <w:sz w:val="32"/>
          <w:szCs w:val="32"/>
          <w:lang w:val="en-US" w:eastAsia="zh-CN"/>
        </w:rPr>
      </w:pPr>
    </w:p>
    <w:p>
      <w:pPr>
        <w:pStyle w:val="4"/>
        <w:numPr>
          <w:ilvl w:val="0"/>
          <w:numId w:val="0"/>
        </w:numPr>
        <w:adjustRightInd w:val="0"/>
        <w:snapToGrid w:val="0"/>
        <w:spacing w:before="93" w:line="600" w:lineRule="exact"/>
        <w:ind w:left="672" w:leftChars="0"/>
        <w:outlineLvl w:val="2"/>
        <w:rPr>
          <w:rFonts w:hint="eastAsia" w:ascii="仿宋" w:hAnsi="仿宋" w:eastAsia="仿宋"/>
          <w:color w:val="000000"/>
          <w:sz w:val="32"/>
          <w:szCs w:val="32"/>
          <w:lang w:val="en-US" w:eastAsia="zh-CN"/>
        </w:rPr>
      </w:pPr>
    </w:p>
    <w:p>
      <w:pPr>
        <w:pStyle w:val="4"/>
        <w:adjustRightInd w:val="0"/>
        <w:snapToGrid w:val="0"/>
        <w:spacing w:before="93" w:line="600" w:lineRule="exact"/>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4"/>
          <w:rFonts w:ascii="黑体" w:hAnsi="黑体" w:eastAsia="黑体"/>
          <w:b w:val="0"/>
          <w:bCs w:val="0"/>
        </w:rPr>
      </w:pPr>
      <w:bookmarkStart w:id="27" w:name="_Toc15396602"/>
      <w:bookmarkStart w:id="28" w:name="_Toc4210"/>
      <w:bookmarkStart w:id="29" w:name="_Toc15377204"/>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27"/>
      <w:bookmarkEnd w:id="28"/>
      <w:bookmarkEnd w:id="29"/>
    </w:p>
    <w:p/>
    <w:p>
      <w:pPr>
        <w:pStyle w:val="16"/>
        <w:numPr>
          <w:ilvl w:val="0"/>
          <w:numId w:val="2"/>
        </w:numPr>
        <w:spacing w:line="600" w:lineRule="exact"/>
        <w:ind w:firstLineChars="0"/>
        <w:outlineLvl w:val="1"/>
        <w:rPr>
          <w:rStyle w:val="15"/>
          <w:rFonts w:ascii="黑体" w:hAnsi="黑体" w:eastAsia="黑体"/>
          <w:b w:val="0"/>
        </w:rPr>
      </w:pPr>
      <w:bookmarkStart w:id="30" w:name="_Toc15396603"/>
      <w:bookmarkStart w:id="31" w:name="_Toc20855"/>
      <w:bookmarkStart w:id="32" w:name="_Toc15377205"/>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0"/>
      <w:bookmarkEnd w:id="31"/>
      <w:bookmarkEnd w:id="3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2020年度收、支总计9206万元。与2019年相比，收、支总计各增加1342.21万元，增长17%。主要变动原因是城乡社区支出，行政运行经费增加。</w:t>
      </w:r>
    </w:p>
    <w:p>
      <w:pPr>
        <w:spacing w:line="600" w:lineRule="exact"/>
        <w:ind w:firstLine="640" w:firstLineChars="200"/>
        <w:rPr>
          <w:rFonts w:hint="eastAsia" w:ascii="仿宋" w:hAnsi="仿宋" w:eastAsia="仿宋"/>
          <w:color w:val="000000"/>
          <w:sz w:val="32"/>
          <w:szCs w:val="32"/>
          <w:highlight w:val="yellow"/>
        </w:rPr>
      </w:pPr>
      <w:r>
        <w:rPr>
          <w:rFonts w:hint="eastAsia" w:ascii="仿宋" w:hAnsi="仿宋" w:eastAsia="仿宋"/>
          <w:color w:val="000000"/>
          <w:sz w:val="32"/>
          <w:szCs w:val="32"/>
          <w:lang w:eastAsia="zh-CN"/>
        </w:rPr>
        <w:drawing>
          <wp:anchor distT="0" distB="0" distL="114300" distR="114300" simplePos="0" relativeHeight="251659264" behindDoc="0" locked="0" layoutInCell="1" allowOverlap="1">
            <wp:simplePos x="0" y="0"/>
            <wp:positionH relativeFrom="column">
              <wp:posOffset>255270</wp:posOffset>
            </wp:positionH>
            <wp:positionV relativeFrom="paragraph">
              <wp:posOffset>63500</wp:posOffset>
            </wp:positionV>
            <wp:extent cx="4420235" cy="2165350"/>
            <wp:effectExtent l="0" t="0" r="18415" b="63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pStyle w:val="16"/>
        <w:numPr>
          <w:ilvl w:val="0"/>
          <w:numId w:val="0"/>
        </w:numPr>
        <w:spacing w:line="600" w:lineRule="exact"/>
        <w:ind w:left="640" w:leftChars="0"/>
        <w:outlineLvl w:val="9"/>
        <w:rPr>
          <w:rFonts w:hint="eastAsia" w:ascii="黑体" w:hAnsi="黑体" w:eastAsia="黑体"/>
          <w:color w:val="000000"/>
          <w:sz w:val="32"/>
          <w:szCs w:val="32"/>
          <w:lang w:eastAsia="zh-CN"/>
        </w:rPr>
      </w:pPr>
      <w:bookmarkStart w:id="33" w:name="_Toc15377206"/>
      <w:bookmarkStart w:id="34" w:name="_Toc15396604"/>
    </w:p>
    <w:p>
      <w:pPr>
        <w:pStyle w:val="16"/>
        <w:numPr>
          <w:ilvl w:val="0"/>
          <w:numId w:val="0"/>
        </w:numPr>
        <w:spacing w:line="600" w:lineRule="exact"/>
        <w:ind w:left="640" w:leftChars="0"/>
        <w:outlineLvl w:val="9"/>
        <w:rPr>
          <w:rFonts w:hint="eastAsia" w:ascii="黑体" w:hAnsi="黑体" w:eastAsia="黑体"/>
          <w:color w:val="000000"/>
          <w:sz w:val="32"/>
          <w:szCs w:val="32"/>
          <w:lang w:eastAsia="zh-CN"/>
        </w:rPr>
      </w:pPr>
    </w:p>
    <w:p>
      <w:pPr>
        <w:pStyle w:val="16"/>
        <w:numPr>
          <w:ilvl w:val="0"/>
          <w:numId w:val="0"/>
        </w:numPr>
        <w:spacing w:line="600" w:lineRule="exact"/>
        <w:ind w:left="640" w:leftChars="0"/>
        <w:outlineLvl w:val="9"/>
        <w:rPr>
          <w:rFonts w:hint="eastAsia" w:ascii="黑体" w:hAnsi="黑体" w:eastAsia="黑体"/>
          <w:color w:val="000000"/>
          <w:sz w:val="32"/>
          <w:szCs w:val="32"/>
          <w:lang w:eastAsia="zh-CN"/>
        </w:rPr>
      </w:pPr>
    </w:p>
    <w:p>
      <w:pPr>
        <w:pStyle w:val="16"/>
        <w:numPr>
          <w:ilvl w:val="0"/>
          <w:numId w:val="0"/>
        </w:numPr>
        <w:spacing w:line="600" w:lineRule="exact"/>
        <w:ind w:left="640" w:leftChars="0"/>
        <w:outlineLvl w:val="9"/>
        <w:rPr>
          <w:rFonts w:hint="eastAsia" w:ascii="黑体" w:hAnsi="黑体" w:eastAsia="黑体"/>
          <w:color w:val="000000"/>
          <w:sz w:val="32"/>
          <w:szCs w:val="32"/>
          <w:lang w:eastAsia="zh-CN"/>
        </w:rPr>
      </w:pPr>
    </w:p>
    <w:p>
      <w:pPr>
        <w:pStyle w:val="16"/>
        <w:numPr>
          <w:ilvl w:val="0"/>
          <w:numId w:val="0"/>
        </w:numPr>
        <w:spacing w:line="600" w:lineRule="exact"/>
        <w:ind w:left="640" w:leftChars="0"/>
        <w:outlineLvl w:val="1"/>
        <w:rPr>
          <w:rStyle w:val="15"/>
          <w:rFonts w:ascii="黑体" w:hAnsi="黑体" w:eastAsia="黑体"/>
          <w:b w:val="0"/>
        </w:rPr>
      </w:pPr>
      <w:bookmarkStart w:id="35" w:name="_Toc23673"/>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15"/>
          <w:rFonts w:hint="eastAsia" w:ascii="黑体" w:hAnsi="黑体" w:eastAsia="黑体"/>
          <w:b w:val="0"/>
        </w:rPr>
        <w:t>入决算情况说明</w:t>
      </w:r>
      <w:bookmarkEnd w:id="33"/>
      <w:bookmarkEnd w:id="34"/>
      <w:bookmarkEnd w:id="35"/>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bookmarkStart w:id="36" w:name="_Toc21111"/>
      <w:r>
        <w:rPr>
          <w:rFonts w:hint="eastAsia" w:ascii="Times New Roman" w:hAnsi="Times New Roman" w:eastAsia="方正仿宋简体" w:cs="Times New Roman"/>
          <w:color w:val="000000"/>
          <w:kern w:val="0"/>
          <w:sz w:val="32"/>
          <w:szCs w:val="32"/>
          <w:lang w:val="en-US" w:eastAsia="zh-CN" w:bidi="ar-SA"/>
        </w:rPr>
        <w:t>2020年本年收入合计6765.55万元，其中：一般公共预算财政拨款收入2945.55万元，占44%；政府性基金预算财政拨款收入3820万元，占56%。</w:t>
      </w:r>
      <w:bookmarkEnd w:id="36"/>
    </w:p>
    <w:p>
      <w:pPr>
        <w:spacing w:line="600" w:lineRule="exact"/>
        <w:outlineLvl w:val="9"/>
        <w:rPr>
          <w:rFonts w:ascii="仿宋" w:hAnsi="仿宋" w:eastAsia="仿宋"/>
          <w:color w:val="00000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238125</wp:posOffset>
            </wp:positionH>
            <wp:positionV relativeFrom="paragraph">
              <wp:posOffset>124460</wp:posOffset>
            </wp:positionV>
            <wp:extent cx="4518660" cy="2544445"/>
            <wp:effectExtent l="4445" t="4445" r="10795" b="2286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16"/>
        <w:numPr>
          <w:ilvl w:val="0"/>
          <w:numId w:val="0"/>
        </w:numPr>
        <w:spacing w:line="600" w:lineRule="exact"/>
        <w:ind w:left="640" w:leftChars="0"/>
        <w:outlineLvl w:val="9"/>
        <w:rPr>
          <w:rStyle w:val="15"/>
          <w:rFonts w:ascii="黑体" w:hAnsi="黑体" w:eastAsia="黑体"/>
          <w:b w:val="0"/>
        </w:rPr>
      </w:pPr>
      <w:bookmarkStart w:id="37" w:name="_Toc15377207"/>
      <w:bookmarkStart w:id="38" w:name="_Toc15396605"/>
    </w:p>
    <w:p>
      <w:pPr>
        <w:pStyle w:val="16"/>
        <w:numPr>
          <w:ilvl w:val="0"/>
          <w:numId w:val="0"/>
        </w:numPr>
        <w:spacing w:line="600" w:lineRule="exact"/>
        <w:outlineLvl w:val="9"/>
        <w:rPr>
          <w:rStyle w:val="15"/>
          <w:rFonts w:ascii="黑体" w:hAnsi="黑体" w:eastAsia="黑体"/>
          <w:b w:val="0"/>
        </w:rPr>
      </w:pPr>
    </w:p>
    <w:p>
      <w:pPr>
        <w:pStyle w:val="16"/>
        <w:numPr>
          <w:ilvl w:val="0"/>
          <w:numId w:val="0"/>
        </w:numPr>
        <w:spacing w:line="600" w:lineRule="exact"/>
        <w:ind w:left="640" w:leftChars="0" w:firstLine="320" w:firstLineChars="100"/>
        <w:outlineLvl w:val="1"/>
        <w:rPr>
          <w:rStyle w:val="15"/>
          <w:rFonts w:ascii="黑体" w:hAnsi="黑体" w:eastAsia="黑体"/>
          <w:b w:val="0"/>
        </w:rPr>
      </w:pPr>
      <w:bookmarkStart w:id="39" w:name="_Toc26590"/>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15"/>
          <w:rFonts w:hint="eastAsia" w:ascii="黑体" w:hAnsi="黑体" w:eastAsia="黑体"/>
          <w:b w:val="0"/>
        </w:rPr>
        <w:t>出决算情况说明</w:t>
      </w:r>
      <w:bookmarkEnd w:id="37"/>
      <w:bookmarkEnd w:id="38"/>
      <w:bookmarkEnd w:id="3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bookmarkStart w:id="40" w:name="_Toc19505"/>
      <w:r>
        <w:rPr>
          <w:rFonts w:hint="eastAsia" w:ascii="Times New Roman" w:hAnsi="Times New Roman" w:eastAsia="方正仿宋简体" w:cs="Times New Roman"/>
          <w:color w:val="000000"/>
          <w:kern w:val="0"/>
          <w:sz w:val="32"/>
          <w:szCs w:val="32"/>
          <w:lang w:val="en-US" w:eastAsia="zh-CN" w:bidi="ar-SA"/>
        </w:rPr>
        <w:t>2020年本年支出合计7399.38万元，其中：基本支出2344.32万元，占32%；项目支出5055.06万元，占68%。</w:t>
      </w:r>
      <w:bookmarkEnd w:id="40"/>
    </w:p>
    <w:p>
      <w:pPr>
        <w:spacing w:line="600" w:lineRule="exact"/>
        <w:ind w:firstLine="640" w:firstLineChars="200"/>
        <w:rPr>
          <w:rFonts w:hint="default" w:ascii="仿宋_GB2312" w:eastAsia="仿宋_GB2312"/>
          <w:color w:val="FF0000"/>
          <w:sz w:val="32"/>
          <w:szCs w:val="32"/>
          <w:lang w:val="en-US"/>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416560</wp:posOffset>
            </wp:positionH>
            <wp:positionV relativeFrom="paragraph">
              <wp:posOffset>147955</wp:posOffset>
            </wp:positionV>
            <wp:extent cx="4403090" cy="2715895"/>
            <wp:effectExtent l="4445" t="4445" r="12065" b="2286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color w:val="FF0000"/>
          <w:sz w:val="32"/>
          <w:szCs w:val="32"/>
          <w:lang w:val="en-US" w:eastAsia="zh-CN"/>
        </w:rPr>
        <w:t xml:space="preserve">  </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41" w:name="_Toc15396606"/>
      <w:bookmarkStart w:id="42" w:name="_Toc20882"/>
      <w:bookmarkStart w:id="43" w:name="_Toc15377208"/>
    </w:p>
    <w:p>
      <w:pPr>
        <w:spacing w:line="600" w:lineRule="exact"/>
        <w:ind w:firstLine="640" w:firstLineChars="200"/>
        <w:outlineLvl w:val="1"/>
        <w:rPr>
          <w:rStyle w:val="15"/>
          <w:rFonts w:ascii="黑体" w:hAnsi="黑体" w:eastAsia="黑体"/>
          <w:b w:val="0"/>
        </w:rPr>
      </w:pPr>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1"/>
      <w:bookmarkEnd w:id="42"/>
      <w:bookmarkEnd w:id="4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2020年度收、支总计9206万元。与2019年相比，收、支总计各增加1342.21万元，增长17%。主要变动原因是城乡社区支出，行政运行经费增加。</w:t>
      </w:r>
    </w:p>
    <w:p>
      <w:pPr>
        <w:spacing w:line="600" w:lineRule="exact"/>
        <w:ind w:firstLine="640"/>
        <w:rPr>
          <w:rFonts w:ascii="仿宋" w:hAnsi="仿宋" w:eastAsia="仿宋"/>
          <w:b/>
          <w:color w:val="00B05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345440</wp:posOffset>
            </wp:positionH>
            <wp:positionV relativeFrom="paragraph">
              <wp:posOffset>192405</wp:posOffset>
            </wp:positionV>
            <wp:extent cx="4546600" cy="2873375"/>
            <wp:effectExtent l="0" t="0" r="6350" b="317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hint="eastAsia" w:ascii="黑体" w:hAnsi="黑体" w:eastAsia="黑体"/>
          <w:color w:val="000000"/>
          <w:sz w:val="32"/>
          <w:szCs w:val="32"/>
        </w:rPr>
      </w:pPr>
      <w:bookmarkStart w:id="44" w:name="_Toc15396607"/>
      <w:bookmarkStart w:id="45" w:name="_Toc15377209"/>
      <w:bookmarkStart w:id="46" w:name="_Toc2706"/>
    </w:p>
    <w:p>
      <w:pPr>
        <w:spacing w:line="600" w:lineRule="exact"/>
        <w:ind w:firstLine="640" w:firstLineChars="200"/>
        <w:outlineLvl w:val="1"/>
        <w:rPr>
          <w:rStyle w:val="1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bookmarkStart w:id="48" w:name="_Toc9117"/>
      <w:r>
        <w:rPr>
          <w:rFonts w:hint="eastAsia" w:ascii="仿宋" w:hAnsi="仿宋" w:eastAsia="仿宋"/>
          <w:b/>
          <w:color w:val="000000"/>
          <w:sz w:val="32"/>
          <w:szCs w:val="32"/>
        </w:rPr>
        <w:t>（一）一般公共预算财政拨款支出决算总体情况</w:t>
      </w:r>
      <w:bookmarkEnd w:id="47"/>
      <w:bookmarkEnd w:id="4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2020年一般公共预算财政拨款支出3560.46万元，占本年支出合计的48%。与2019年相比，一般公共预算财政拨款增加426.49万元，增长13.7%。主要变动原因是节能环保支出增加。</w:t>
      </w:r>
    </w:p>
    <w:p>
      <w:pPr>
        <w:spacing w:line="600" w:lineRule="exact"/>
        <w:ind w:firstLine="640" w:firstLineChars="200"/>
        <w:rPr>
          <w:rFonts w:hint="eastAsia" w:ascii="仿宋" w:hAnsi="仿宋" w:eastAsia="仿宋"/>
          <w:color w:val="000000"/>
          <w:sz w:val="32"/>
          <w:szCs w:val="32"/>
          <w:highlight w:val="yellow"/>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482600</wp:posOffset>
            </wp:positionH>
            <wp:positionV relativeFrom="paragraph">
              <wp:posOffset>59690</wp:posOffset>
            </wp:positionV>
            <wp:extent cx="4514850" cy="3027045"/>
            <wp:effectExtent l="0" t="0" r="0" b="19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9" w:name="_Toc28165"/>
      <w:bookmarkStart w:id="50" w:name="_Toc15377211"/>
      <w:r>
        <w:rPr>
          <w:rFonts w:hint="eastAsia" w:ascii="仿宋" w:hAnsi="仿宋" w:eastAsia="仿宋"/>
          <w:b/>
          <w:color w:val="000000"/>
          <w:sz w:val="32"/>
          <w:szCs w:val="32"/>
        </w:rPr>
        <w:t>（二）一般公共预算财政拨款支出决算结构情况</w:t>
      </w:r>
      <w:bookmarkEnd w:id="49"/>
      <w:bookmarkEnd w:id="5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2020年一般公共预算财政拨款支出3560.47万元，主要用于以下方面</w:t>
      </w:r>
      <w:r>
        <w:rPr>
          <w:rFonts w:hint="eastAsia" w:eastAsia="方正仿宋简体" w:cs="Times New Roman"/>
          <w:color w:val="000000"/>
          <w:kern w:val="0"/>
          <w:sz w:val="32"/>
          <w:szCs w:val="32"/>
          <w:lang w:val="en-US" w:eastAsia="zh-CN" w:bidi="ar-SA"/>
        </w:rPr>
        <w:t>：</w:t>
      </w:r>
      <w:r>
        <w:rPr>
          <w:rFonts w:hint="eastAsia" w:ascii="Times New Roman" w:hAnsi="Times New Roman" w:eastAsia="方正仿宋简体" w:cs="Times New Roman"/>
          <w:color w:val="000000"/>
          <w:kern w:val="0"/>
          <w:sz w:val="32"/>
          <w:szCs w:val="32"/>
          <w:lang w:val="en-US" w:eastAsia="zh-CN" w:bidi="ar-SA"/>
        </w:rPr>
        <w:t>教育支出（类）支出17万元，占0.48%；社会保障和就业支出（类）支出157.7万元，占4.43%；卫生健康支出（类）支出104.03万元，占2.92%；节能环保支出（类）支出494.5万元，占13.89%；城乡社区支出（类）支出2619.26万元，占73.57%；农林水支出（类）支出0.57万元，占0.01%；住房保障支出167.42万元，占4.7%。</w:t>
      </w:r>
    </w:p>
    <w:p>
      <w:pPr>
        <w:spacing w:line="600" w:lineRule="exact"/>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99060</wp:posOffset>
            </wp:positionH>
            <wp:positionV relativeFrom="paragraph">
              <wp:posOffset>159385</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highlight w:val="red"/>
        </w:rPr>
      </w:pPr>
      <w:bookmarkStart w:id="51" w:name="_Toc26913"/>
      <w:bookmarkStart w:id="52" w:name="_Toc15377212"/>
      <w:r>
        <w:rPr>
          <w:rFonts w:hint="eastAsia" w:ascii="仿宋" w:hAnsi="仿宋" w:eastAsia="仿宋"/>
          <w:b/>
          <w:color w:val="000000"/>
          <w:sz w:val="32"/>
          <w:szCs w:val="32"/>
          <w:highlight w:val="none"/>
        </w:rPr>
        <w:t>（三）一般公共预算财政拨款支出决算具体情况</w:t>
      </w:r>
      <w:bookmarkEnd w:id="51"/>
      <w:bookmarkEnd w:id="52"/>
    </w:p>
    <w:p>
      <w:pPr>
        <w:spacing w:line="600" w:lineRule="exact"/>
        <w:ind w:firstLine="643" w:firstLineChars="200"/>
        <w:outlineLvl w:val="2"/>
        <w:rPr>
          <w:rFonts w:ascii="仿宋" w:hAnsi="仿宋" w:eastAsia="仿宋"/>
          <w:color w:val="FF0000"/>
          <w:sz w:val="32"/>
          <w:szCs w:val="32"/>
        </w:rPr>
      </w:pPr>
      <w:bookmarkStart w:id="53" w:name="_Toc15378460"/>
      <w:bookmarkStart w:id="54" w:name="_Toc15377444"/>
      <w:bookmarkStart w:id="55" w:name="_Toc15377213"/>
      <w:bookmarkStart w:id="56" w:name="_Toc22535"/>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bCs/>
          <w:color w:val="000000"/>
          <w:sz w:val="32"/>
          <w:szCs w:val="32"/>
          <w:lang w:val="en-US" w:eastAsia="zh-CN"/>
        </w:rPr>
        <w:t>3560.47</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80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53"/>
      <w:bookmarkEnd w:id="54"/>
      <w:bookmarkEnd w:id="55"/>
      <w:bookmarkEnd w:id="56"/>
    </w:p>
    <w:p>
      <w:pPr>
        <w:numPr>
          <w:ilvl w:val="0"/>
          <w:numId w:val="0"/>
        </w:numPr>
        <w:spacing w:line="600" w:lineRule="exact"/>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 xml:space="preserve">    1.</w:t>
      </w:r>
      <w:r>
        <w:rPr>
          <w:rStyle w:val="12"/>
          <w:rFonts w:hint="eastAsia" w:ascii="仿宋" w:hAnsi="仿宋" w:eastAsia="仿宋"/>
          <w:bCs/>
          <w:color w:val="000000"/>
          <w:sz w:val="32"/>
          <w:szCs w:val="32"/>
        </w:rPr>
        <w:t>教育（类）进修及培训（款）干部教育（项）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Fonts w:hint="eastAsia" w:ascii="Times New Roman" w:hAnsi="Times New Roman" w:eastAsia="方正仿宋简体" w:cs="Times New Roman"/>
          <w:color w:val="000000"/>
          <w:kern w:val="0"/>
          <w:sz w:val="32"/>
          <w:szCs w:val="32"/>
          <w:lang w:val="en-US" w:eastAsia="zh-CN" w:bidi="ar-SA"/>
        </w:rPr>
        <w:t>支出决算为10.5万元，完成预算100%。</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2.</w:t>
      </w:r>
      <w:r>
        <w:rPr>
          <w:rStyle w:val="12"/>
          <w:rFonts w:hint="eastAsia" w:ascii="仿宋" w:hAnsi="仿宋" w:eastAsia="仿宋"/>
          <w:bCs/>
          <w:color w:val="000000"/>
          <w:sz w:val="32"/>
          <w:szCs w:val="32"/>
        </w:rPr>
        <w:t>教育（类）进修及培训（款）培训支出（项）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Fonts w:hint="eastAsia" w:ascii="Times New Roman" w:hAnsi="Times New Roman" w:eastAsia="方正仿宋简体" w:cs="Times New Roman"/>
          <w:color w:val="000000"/>
          <w:kern w:val="0"/>
          <w:sz w:val="32"/>
          <w:szCs w:val="32"/>
          <w:lang w:val="en-US" w:eastAsia="zh-CN" w:bidi="ar-SA"/>
        </w:rPr>
        <w:t>支出决算为6.5万元，完成预算100%。</w:t>
      </w:r>
    </w:p>
    <w:p>
      <w:pPr>
        <w:numPr>
          <w:ilvl w:val="0"/>
          <w:numId w:val="0"/>
        </w:numPr>
        <w:spacing w:line="600" w:lineRule="exact"/>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 xml:space="preserve">    3.</w:t>
      </w:r>
      <w:r>
        <w:rPr>
          <w:rStyle w:val="12"/>
          <w:rFonts w:hint="eastAsia" w:ascii="仿宋" w:hAnsi="仿宋" w:eastAsia="仿宋"/>
          <w:bCs/>
          <w:color w:val="000000"/>
          <w:sz w:val="32"/>
          <w:szCs w:val="32"/>
        </w:rPr>
        <w:t>社会保障和就业（类）行政事业单位养老支出（款）行政单位离退休（项）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w:t>
      </w:r>
      <w:r>
        <w:rPr>
          <w:rFonts w:hint="eastAsia" w:ascii="Times New Roman" w:hAnsi="Times New Roman" w:eastAsia="方正仿宋简体" w:cs="Times New Roman"/>
          <w:color w:val="000000"/>
          <w:kern w:val="0"/>
          <w:sz w:val="32"/>
          <w:szCs w:val="32"/>
          <w:lang w:val="en-US" w:eastAsia="zh-CN" w:bidi="ar-SA"/>
        </w:rPr>
        <w:t>出决算为5.5万元，完成预算100%。</w:t>
      </w:r>
    </w:p>
    <w:p>
      <w:p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4.</w:t>
      </w:r>
      <w:r>
        <w:rPr>
          <w:rStyle w:val="12"/>
          <w:rFonts w:hint="eastAsia" w:ascii="仿宋" w:hAnsi="仿宋" w:eastAsia="仿宋"/>
          <w:bCs/>
          <w:color w:val="000000"/>
          <w:sz w:val="32"/>
          <w:szCs w:val="32"/>
        </w:rPr>
        <w:t>社会保障和就业（类）行政事业单位养老支出（款）机关事业单位基本养老保险缴费支出（项）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Fonts w:hint="eastAsia" w:ascii="Times New Roman" w:hAnsi="Times New Roman" w:eastAsia="方正仿宋简体" w:cs="Times New Roman"/>
          <w:color w:val="000000"/>
          <w:kern w:val="0"/>
          <w:sz w:val="32"/>
          <w:szCs w:val="32"/>
          <w:lang w:val="en-US" w:eastAsia="zh-CN" w:bidi="ar-SA"/>
        </w:rPr>
        <w:t>支出决算为146.65万元，完成预算100%。</w:t>
      </w:r>
    </w:p>
    <w:p>
      <w:p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5.</w:t>
      </w:r>
      <w:r>
        <w:rPr>
          <w:rStyle w:val="12"/>
          <w:rFonts w:hint="eastAsia" w:ascii="仿宋" w:hAnsi="仿宋" w:eastAsia="仿宋"/>
          <w:bCs/>
          <w:color w:val="000000"/>
          <w:sz w:val="32"/>
          <w:szCs w:val="32"/>
        </w:rPr>
        <w:t>社会保障和就业（类）行政事业单位养老支出（款）其他行政事业单位养老支出（项）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Fonts w:hint="eastAsia" w:ascii="Times New Roman" w:hAnsi="Times New Roman" w:eastAsia="方正仿宋简体" w:cs="Times New Roman"/>
          <w:color w:val="000000"/>
          <w:kern w:val="0"/>
          <w:sz w:val="32"/>
          <w:szCs w:val="32"/>
          <w:lang w:val="en-US" w:eastAsia="zh-CN" w:bidi="ar-SA"/>
        </w:rPr>
        <w:t>支出决算为3.6万元，完成预算100%。</w:t>
      </w:r>
    </w:p>
    <w:p>
      <w:p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Style w:val="12"/>
          <w:rFonts w:hint="eastAsia" w:ascii="仿宋" w:hAnsi="仿宋" w:eastAsia="仿宋"/>
          <w:bCs/>
          <w:color w:val="000000"/>
          <w:sz w:val="32"/>
          <w:szCs w:val="32"/>
          <w:lang w:val="en-US" w:eastAsia="zh-CN"/>
        </w:rPr>
        <w:t>6.</w:t>
      </w:r>
      <w:r>
        <w:rPr>
          <w:rStyle w:val="12"/>
          <w:rFonts w:hint="eastAsia" w:ascii="仿宋" w:hAnsi="仿宋" w:eastAsia="仿宋"/>
          <w:bCs/>
          <w:color w:val="000000"/>
          <w:sz w:val="32"/>
          <w:szCs w:val="32"/>
        </w:rPr>
        <w:t>社会保障和就业（类）抚恤（款）死亡抚恤（项）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Fonts w:hint="eastAsia" w:ascii="Times New Roman" w:hAnsi="Times New Roman" w:eastAsia="方正仿宋简体" w:cs="Times New Roman"/>
          <w:color w:val="000000"/>
          <w:kern w:val="0"/>
          <w:sz w:val="32"/>
          <w:szCs w:val="32"/>
          <w:lang w:val="en-US" w:eastAsia="zh-CN" w:bidi="ar-SA"/>
        </w:rPr>
        <w:t>支出决算为1.95万元，完成预算100%。</w:t>
      </w:r>
    </w:p>
    <w:p>
      <w:pPr>
        <w:numPr>
          <w:ilvl w:val="0"/>
          <w:numId w:val="0"/>
        </w:numPr>
        <w:spacing w:line="600" w:lineRule="exact"/>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 xml:space="preserve">    7.</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（类）行政事业单位医疗（款）行政单位医疗（项）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支出决算为81.62万元，完成预算100%。</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支出决算为4.1万元，完成预算100%。</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（类）行政事业单位医疗（款）公务员医疗补助（项）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支出决算为17.9万元，完成预算100%。</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（类）行政事业单位医疗（款）其他行政事业单位医疗支出（项）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支出决算为0.4万元，完成预算100%。</w:t>
      </w:r>
    </w:p>
    <w:p>
      <w:pPr>
        <w:numPr>
          <w:ilvl w:val="0"/>
          <w:numId w:val="0"/>
        </w:numPr>
        <w:spacing w:line="600" w:lineRule="exact"/>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highlight w:val="none"/>
          <w:lang w:val="en-US" w:eastAsia="zh-CN"/>
        </w:rPr>
        <w:t xml:space="preserve">    11.</w:t>
      </w:r>
      <w:r>
        <w:rPr>
          <w:rFonts w:hint="eastAsia" w:ascii="仿宋" w:hAnsi="仿宋" w:eastAsia="仿宋"/>
          <w:b/>
          <w:bCs/>
          <w:color w:val="000000"/>
          <w:sz w:val="32"/>
          <w:szCs w:val="32"/>
          <w:highlight w:val="none"/>
        </w:rPr>
        <w:t>节能环保支出</w:t>
      </w:r>
      <w:r>
        <w:rPr>
          <w:rStyle w:val="12"/>
          <w:rFonts w:hint="eastAsia" w:ascii="仿宋" w:hAnsi="仿宋" w:eastAsia="仿宋"/>
          <w:bCs/>
          <w:color w:val="000000"/>
          <w:sz w:val="32"/>
          <w:szCs w:val="32"/>
          <w:highlight w:val="none"/>
        </w:rPr>
        <w:t>（类）污染防治（款）大气（项）</w:t>
      </w:r>
      <w:r>
        <w:rPr>
          <w:rStyle w:val="12"/>
          <w:rFonts w:hint="eastAsia" w:ascii="仿宋" w:hAnsi="仿宋" w:eastAsia="仿宋"/>
          <w:bCs/>
          <w:color w:val="000000"/>
          <w:sz w:val="32"/>
          <w:szCs w:val="32"/>
          <w:highlight w:val="none"/>
          <w:lang w:eastAsia="zh-CN"/>
        </w:rPr>
        <w:t>：</w:t>
      </w:r>
      <w:r>
        <w:rPr>
          <w:rFonts w:hint="eastAsia" w:ascii="Times New Roman" w:hAnsi="Times New Roman" w:eastAsia="方正仿宋简体" w:cs="Times New Roman"/>
          <w:color w:val="000000"/>
          <w:kern w:val="0"/>
          <w:sz w:val="32"/>
          <w:szCs w:val="32"/>
          <w:lang w:val="en-US" w:eastAsia="zh-CN" w:bidi="ar-SA"/>
        </w:rPr>
        <w:t>支出决算为294.49万元，完成预算98.1%。决算数小于预算数的主要原因是年终结算部分费用未支付，结转下年度支付。</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highlight w:val="none"/>
          <w:lang w:val="en-US" w:eastAsia="zh-CN"/>
        </w:rPr>
        <w:t>12.</w:t>
      </w:r>
      <w:r>
        <w:rPr>
          <w:rFonts w:hint="eastAsia" w:ascii="仿宋" w:hAnsi="仿宋" w:eastAsia="仿宋"/>
          <w:b/>
          <w:bCs/>
          <w:color w:val="000000"/>
          <w:sz w:val="32"/>
          <w:szCs w:val="32"/>
          <w:highlight w:val="none"/>
        </w:rPr>
        <w:t>节能环保支出</w:t>
      </w:r>
      <w:r>
        <w:rPr>
          <w:rStyle w:val="12"/>
          <w:rFonts w:hint="eastAsia" w:ascii="仿宋" w:hAnsi="仿宋" w:eastAsia="仿宋"/>
          <w:bCs/>
          <w:color w:val="000000"/>
          <w:sz w:val="32"/>
          <w:szCs w:val="32"/>
          <w:highlight w:val="none"/>
        </w:rPr>
        <w:t>（类）污染防治（款）</w:t>
      </w:r>
      <w:r>
        <w:rPr>
          <w:rStyle w:val="12"/>
          <w:rFonts w:hint="eastAsia" w:ascii="仿宋" w:hAnsi="仿宋" w:eastAsia="仿宋"/>
          <w:bCs/>
          <w:color w:val="000000"/>
          <w:sz w:val="32"/>
          <w:szCs w:val="32"/>
          <w:highlight w:val="none"/>
          <w:lang w:eastAsia="zh-CN"/>
        </w:rPr>
        <w:t>水体</w:t>
      </w:r>
      <w:r>
        <w:rPr>
          <w:rStyle w:val="12"/>
          <w:rFonts w:hint="eastAsia" w:ascii="仿宋" w:hAnsi="仿宋" w:eastAsia="仿宋"/>
          <w:bCs/>
          <w:color w:val="000000"/>
          <w:sz w:val="32"/>
          <w:szCs w:val="32"/>
          <w:highlight w:val="none"/>
        </w:rPr>
        <w:t>（项）</w:t>
      </w:r>
      <w:r>
        <w:rPr>
          <w:rStyle w:val="12"/>
          <w:rFonts w:hint="eastAsia" w:ascii="仿宋" w:hAnsi="仿宋" w:eastAsia="仿宋"/>
          <w:bCs/>
          <w:color w:val="000000"/>
          <w:sz w:val="32"/>
          <w:szCs w:val="32"/>
          <w:highlight w:val="none"/>
          <w:lang w:eastAsia="zh-CN"/>
        </w:rPr>
        <w:t>：</w:t>
      </w:r>
      <w:r>
        <w:rPr>
          <w:rFonts w:hint="eastAsia" w:ascii="Times New Roman" w:hAnsi="Times New Roman" w:eastAsia="方正仿宋简体" w:cs="Times New Roman"/>
          <w:color w:val="000000"/>
          <w:kern w:val="0"/>
          <w:sz w:val="32"/>
          <w:szCs w:val="32"/>
          <w:lang w:val="en-US" w:eastAsia="zh-CN" w:bidi="ar-SA"/>
        </w:rPr>
        <w:t>支出决算为200万元，完成预算100%。</w:t>
      </w:r>
    </w:p>
    <w:p>
      <w:pPr>
        <w:numPr>
          <w:ilvl w:val="0"/>
          <w:numId w:val="0"/>
        </w:numPr>
        <w:spacing w:line="600" w:lineRule="exact"/>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highlight w:val="none"/>
          <w:lang w:val="en-US" w:eastAsia="zh-CN"/>
        </w:rPr>
        <w:t xml:space="preserve">    13.</w:t>
      </w:r>
      <w:r>
        <w:rPr>
          <w:rFonts w:hint="eastAsia" w:ascii="仿宋" w:hAnsi="仿宋" w:eastAsia="仿宋"/>
          <w:b/>
          <w:bCs/>
          <w:color w:val="000000"/>
          <w:sz w:val="32"/>
          <w:szCs w:val="32"/>
          <w:highlight w:val="none"/>
        </w:rPr>
        <w:t>城乡社区支出</w:t>
      </w:r>
      <w:r>
        <w:rPr>
          <w:rStyle w:val="12"/>
          <w:rFonts w:hint="eastAsia" w:ascii="仿宋" w:hAnsi="仿宋" w:eastAsia="仿宋"/>
          <w:bCs/>
          <w:color w:val="000000"/>
          <w:sz w:val="32"/>
          <w:szCs w:val="32"/>
          <w:highlight w:val="none"/>
        </w:rPr>
        <w:t>（类）</w:t>
      </w:r>
      <w:r>
        <w:rPr>
          <w:rFonts w:hint="eastAsia" w:ascii="仿宋" w:hAnsi="仿宋" w:eastAsia="仿宋"/>
          <w:b/>
          <w:bCs/>
          <w:color w:val="000000"/>
          <w:sz w:val="32"/>
          <w:szCs w:val="32"/>
          <w:highlight w:val="none"/>
        </w:rPr>
        <w:t>城乡社区管理事务</w:t>
      </w:r>
      <w:r>
        <w:rPr>
          <w:rStyle w:val="12"/>
          <w:rFonts w:hint="eastAsia" w:ascii="仿宋" w:hAnsi="仿宋" w:eastAsia="仿宋"/>
          <w:bCs/>
          <w:color w:val="000000"/>
          <w:sz w:val="32"/>
          <w:szCs w:val="32"/>
          <w:highlight w:val="none"/>
        </w:rPr>
        <w:t>（款）行政运行（项）</w:t>
      </w:r>
      <w:r>
        <w:rPr>
          <w:rStyle w:val="12"/>
          <w:rFonts w:hint="eastAsia" w:ascii="仿宋" w:hAnsi="仿宋" w:eastAsia="仿宋"/>
          <w:bCs/>
          <w:color w:val="000000"/>
          <w:sz w:val="32"/>
          <w:szCs w:val="32"/>
          <w:highlight w:val="none"/>
          <w:lang w:eastAsia="zh-CN"/>
        </w:rPr>
        <w:t>：</w:t>
      </w:r>
      <w:r>
        <w:rPr>
          <w:rFonts w:hint="eastAsia" w:ascii="Times New Roman" w:hAnsi="Times New Roman" w:eastAsia="方正仿宋简体" w:cs="Times New Roman"/>
          <w:color w:val="000000"/>
          <w:kern w:val="0"/>
          <w:sz w:val="32"/>
          <w:szCs w:val="32"/>
          <w:lang w:val="en-US" w:eastAsia="zh-CN" w:bidi="ar-SA"/>
        </w:rPr>
        <w:t>支出决算为1831.66万元，完成预算99.64%。</w:t>
      </w:r>
    </w:p>
    <w:p>
      <w:pPr>
        <w:pStyle w:val="9"/>
        <w:keepNext w:val="0"/>
        <w:keepLines w:val="0"/>
        <w:widowControl/>
        <w:suppressLineNumbers w:val="0"/>
        <w:pBdr>
          <w:top w:val="none" w:color="auto" w:sz="0" w:space="0"/>
          <w:bottom w:val="none" w:color="auto" w:sz="0" w:space="0"/>
        </w:pBdr>
        <w:shd w:val="clear" w:fill="FFFFFF"/>
        <w:spacing w:before="0" w:beforeAutospacing="0" w:after="0" w:afterAutospacing="0" w:line="555" w:lineRule="atLeast"/>
        <w:ind w:left="0" w:right="0" w:firstLine="645"/>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highlight w:val="none"/>
          <w:lang w:val="en-US" w:eastAsia="zh-CN"/>
        </w:rPr>
        <w:t>14.</w:t>
      </w:r>
      <w:r>
        <w:rPr>
          <w:rFonts w:hint="eastAsia" w:ascii="仿宋" w:hAnsi="仿宋" w:eastAsia="仿宋"/>
          <w:b/>
          <w:bCs/>
          <w:color w:val="000000"/>
          <w:sz w:val="32"/>
          <w:szCs w:val="32"/>
          <w:highlight w:val="none"/>
        </w:rPr>
        <w:t>城乡社区支出</w:t>
      </w:r>
      <w:r>
        <w:rPr>
          <w:rStyle w:val="12"/>
          <w:rFonts w:hint="eastAsia" w:ascii="仿宋" w:hAnsi="仿宋" w:eastAsia="仿宋"/>
          <w:bCs/>
          <w:color w:val="000000"/>
          <w:sz w:val="32"/>
          <w:szCs w:val="32"/>
          <w:highlight w:val="none"/>
        </w:rPr>
        <w:t>（类）</w:t>
      </w:r>
      <w:r>
        <w:rPr>
          <w:rFonts w:hint="eastAsia" w:ascii="仿宋" w:hAnsi="仿宋" w:eastAsia="仿宋"/>
          <w:b/>
          <w:bCs/>
          <w:color w:val="000000"/>
          <w:sz w:val="32"/>
          <w:szCs w:val="32"/>
          <w:highlight w:val="none"/>
        </w:rPr>
        <w:t>城乡社区管理事务</w:t>
      </w:r>
      <w:r>
        <w:rPr>
          <w:rStyle w:val="12"/>
          <w:rFonts w:hint="eastAsia" w:ascii="仿宋" w:hAnsi="仿宋" w:eastAsia="仿宋"/>
          <w:bCs/>
          <w:color w:val="000000"/>
          <w:sz w:val="32"/>
          <w:szCs w:val="32"/>
          <w:highlight w:val="none"/>
        </w:rPr>
        <w:t>（款）一般行政管理事务（项）</w:t>
      </w:r>
      <w:r>
        <w:rPr>
          <w:rStyle w:val="12"/>
          <w:rFonts w:hint="eastAsia" w:ascii="仿宋" w:hAnsi="仿宋" w:eastAsia="仿宋"/>
          <w:bCs/>
          <w:color w:val="000000"/>
          <w:sz w:val="32"/>
          <w:szCs w:val="32"/>
          <w:highlight w:val="none"/>
          <w:lang w:eastAsia="zh-CN"/>
        </w:rPr>
        <w:t>：</w:t>
      </w:r>
      <w:r>
        <w:rPr>
          <w:rFonts w:hint="eastAsia" w:ascii="Times New Roman" w:hAnsi="Times New Roman" w:eastAsia="方正仿宋简体" w:cs="Times New Roman"/>
          <w:color w:val="000000"/>
          <w:kern w:val="0"/>
          <w:sz w:val="32"/>
          <w:szCs w:val="32"/>
          <w:lang w:val="en-US" w:eastAsia="zh-CN" w:bidi="ar-SA"/>
        </w:rPr>
        <w:t>支出决算为130.37万元，完成预算97.5%。决算数小于预算数的主要原因是接待费等节支。</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highlight w:val="none"/>
          <w:lang w:val="en-US" w:eastAsia="zh-CN"/>
        </w:rPr>
        <w:t>15.</w:t>
      </w:r>
      <w:r>
        <w:rPr>
          <w:rFonts w:hint="eastAsia" w:ascii="仿宋" w:hAnsi="仿宋" w:eastAsia="仿宋"/>
          <w:b/>
          <w:bCs/>
          <w:color w:val="000000"/>
          <w:sz w:val="32"/>
          <w:szCs w:val="32"/>
          <w:highlight w:val="none"/>
        </w:rPr>
        <w:t>城乡社区支出</w:t>
      </w:r>
      <w:r>
        <w:rPr>
          <w:rStyle w:val="12"/>
          <w:rFonts w:hint="eastAsia" w:ascii="仿宋" w:hAnsi="仿宋" w:eastAsia="仿宋"/>
          <w:bCs/>
          <w:color w:val="000000"/>
          <w:sz w:val="32"/>
          <w:szCs w:val="32"/>
          <w:highlight w:val="none"/>
        </w:rPr>
        <w:t>（类）</w:t>
      </w:r>
      <w:r>
        <w:rPr>
          <w:rFonts w:hint="eastAsia" w:ascii="仿宋" w:hAnsi="仿宋" w:eastAsia="仿宋"/>
          <w:b/>
          <w:bCs/>
          <w:color w:val="000000"/>
          <w:sz w:val="32"/>
          <w:szCs w:val="32"/>
          <w:highlight w:val="none"/>
        </w:rPr>
        <w:t>城乡社区管理事务</w:t>
      </w:r>
      <w:r>
        <w:rPr>
          <w:rStyle w:val="12"/>
          <w:rFonts w:hint="eastAsia" w:ascii="仿宋" w:hAnsi="仿宋" w:eastAsia="仿宋"/>
          <w:bCs/>
          <w:color w:val="000000"/>
          <w:sz w:val="32"/>
          <w:szCs w:val="32"/>
          <w:highlight w:val="none"/>
        </w:rPr>
        <w:t>（款）城管执法（项）</w:t>
      </w:r>
      <w:r>
        <w:rPr>
          <w:rStyle w:val="12"/>
          <w:rFonts w:hint="eastAsia" w:ascii="仿宋" w:hAnsi="仿宋" w:eastAsia="仿宋"/>
          <w:bCs/>
          <w:color w:val="000000"/>
          <w:sz w:val="32"/>
          <w:szCs w:val="32"/>
          <w:highlight w:val="none"/>
          <w:lang w:eastAsia="zh-CN"/>
        </w:rPr>
        <w:t>：</w:t>
      </w:r>
      <w:r>
        <w:rPr>
          <w:rFonts w:hint="eastAsia" w:ascii="Times New Roman" w:hAnsi="Times New Roman" w:eastAsia="方正仿宋简体" w:cs="Times New Roman"/>
          <w:color w:val="000000"/>
          <w:kern w:val="0"/>
          <w:sz w:val="32"/>
          <w:szCs w:val="32"/>
          <w:lang w:val="en-US" w:eastAsia="zh-CN" w:bidi="ar-SA"/>
        </w:rPr>
        <w:t>支出决算为382.24万元，完成预算79.7%。决算数小于预算数的主要原因是年终结算部分费用未支付，结转下年度支付。</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16.</w:t>
      </w:r>
      <w:r>
        <w:rPr>
          <w:rFonts w:hint="eastAsia" w:ascii="仿宋" w:hAnsi="仿宋" w:eastAsia="仿宋"/>
          <w:b/>
          <w:bCs/>
          <w:color w:val="000000"/>
          <w:sz w:val="32"/>
          <w:szCs w:val="32"/>
        </w:rPr>
        <w:t>城乡社区支出</w:t>
      </w:r>
      <w:r>
        <w:rPr>
          <w:rStyle w:val="12"/>
          <w:rFonts w:hint="eastAsia" w:ascii="仿宋" w:hAnsi="仿宋" w:eastAsia="仿宋"/>
          <w:bCs/>
          <w:color w:val="000000"/>
          <w:sz w:val="32"/>
          <w:szCs w:val="32"/>
        </w:rPr>
        <w:t>（类）</w:t>
      </w:r>
      <w:r>
        <w:rPr>
          <w:rFonts w:hint="eastAsia" w:ascii="仿宋" w:hAnsi="仿宋" w:eastAsia="仿宋"/>
          <w:b/>
          <w:bCs/>
          <w:color w:val="000000"/>
          <w:sz w:val="32"/>
          <w:szCs w:val="32"/>
        </w:rPr>
        <w:t>城乡社区管理事务</w:t>
      </w:r>
      <w:r>
        <w:rPr>
          <w:rStyle w:val="12"/>
          <w:rFonts w:hint="eastAsia" w:ascii="仿宋" w:hAnsi="仿宋" w:eastAsia="仿宋"/>
          <w:bCs/>
          <w:color w:val="000000"/>
          <w:sz w:val="32"/>
          <w:szCs w:val="32"/>
        </w:rPr>
        <w:t>（款）其他城乡社区管理事务支出（项）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支出决算为275万元，完成预算94.45%。决算数小于预算数的主要原因是数字化平台运行经费年终未及时报销。</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17.</w:t>
      </w:r>
      <w:r>
        <w:rPr>
          <w:rFonts w:hint="eastAsia" w:ascii="仿宋" w:hAnsi="仿宋" w:eastAsia="仿宋"/>
          <w:b/>
          <w:bCs/>
          <w:color w:val="000000"/>
          <w:sz w:val="32"/>
          <w:szCs w:val="32"/>
        </w:rPr>
        <w:t>农林水支出</w:t>
      </w:r>
      <w:r>
        <w:rPr>
          <w:rStyle w:val="12"/>
          <w:rFonts w:hint="eastAsia" w:ascii="仿宋" w:hAnsi="仿宋" w:eastAsia="仿宋"/>
          <w:bCs/>
          <w:color w:val="000000"/>
          <w:sz w:val="32"/>
          <w:szCs w:val="32"/>
        </w:rPr>
        <w:t>（类）</w:t>
      </w:r>
      <w:r>
        <w:rPr>
          <w:rFonts w:hint="eastAsia" w:ascii="仿宋" w:hAnsi="仿宋" w:eastAsia="仿宋"/>
          <w:b/>
          <w:bCs/>
          <w:color w:val="000000"/>
          <w:sz w:val="32"/>
          <w:szCs w:val="32"/>
        </w:rPr>
        <w:t>扶贫</w:t>
      </w:r>
      <w:r>
        <w:rPr>
          <w:rStyle w:val="12"/>
          <w:rFonts w:hint="eastAsia" w:ascii="仿宋" w:hAnsi="仿宋" w:eastAsia="仿宋"/>
          <w:bCs/>
          <w:color w:val="000000"/>
          <w:sz w:val="32"/>
          <w:szCs w:val="32"/>
        </w:rPr>
        <w:t>（款）其他扶贫支出（项）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支出决算为0.57万元，完成预算100%。</w:t>
      </w:r>
    </w:p>
    <w:p>
      <w:pPr>
        <w:numPr>
          <w:ilvl w:val="0"/>
          <w:numId w:val="0"/>
        </w:numPr>
        <w:spacing w:line="600" w:lineRule="exact"/>
        <w:ind w:firstLine="643"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 w:hAnsi="仿宋" w:eastAsia="仿宋"/>
          <w:b/>
          <w:bCs/>
          <w:color w:val="000000"/>
          <w:sz w:val="32"/>
          <w:szCs w:val="32"/>
          <w:lang w:val="en-US" w:eastAsia="zh-CN"/>
        </w:rPr>
        <w:t>18.</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w:t>
      </w:r>
      <w:r>
        <w:rPr>
          <w:rFonts w:hint="eastAsia" w:ascii="仿宋" w:hAnsi="仿宋" w:eastAsia="仿宋"/>
          <w:b/>
          <w:bCs/>
          <w:color w:val="000000"/>
          <w:sz w:val="32"/>
          <w:szCs w:val="32"/>
        </w:rPr>
        <w:t>住房改革支出</w:t>
      </w:r>
      <w:r>
        <w:rPr>
          <w:rStyle w:val="12"/>
          <w:rFonts w:hint="eastAsia" w:ascii="仿宋" w:hAnsi="仿宋" w:eastAsia="仿宋"/>
          <w:bCs/>
          <w:color w:val="000000"/>
          <w:sz w:val="32"/>
          <w:szCs w:val="32"/>
        </w:rPr>
        <w:t>（款）住房公积金（项）</w:t>
      </w:r>
      <w:r>
        <w:rPr>
          <w:rStyle w:val="12"/>
          <w:rFonts w:hint="eastAsia" w:ascii="仿宋" w:hAnsi="仿宋" w:eastAsia="仿宋"/>
          <w:bCs/>
          <w:color w:val="000000"/>
          <w:sz w:val="32"/>
          <w:szCs w:val="32"/>
          <w:lang w:eastAsia="zh-CN"/>
        </w:rPr>
        <w:t>：</w:t>
      </w:r>
      <w:r>
        <w:rPr>
          <w:rFonts w:hint="eastAsia" w:ascii="Times New Roman" w:hAnsi="Times New Roman" w:eastAsia="方正仿宋简体" w:cs="Times New Roman"/>
          <w:color w:val="000000"/>
          <w:kern w:val="0"/>
          <w:sz w:val="32"/>
          <w:szCs w:val="32"/>
          <w:lang w:val="en-US" w:eastAsia="zh-CN" w:bidi="ar-SA"/>
        </w:rPr>
        <w:t>支出决算为167.42万元，完成预算100%。</w:t>
      </w:r>
    </w:p>
    <w:p>
      <w:pPr>
        <w:tabs>
          <w:tab w:val="right" w:pos="8306"/>
        </w:tabs>
        <w:spacing w:line="600" w:lineRule="exact"/>
        <w:ind w:firstLine="640"/>
        <w:outlineLvl w:val="1"/>
        <w:rPr>
          <w:rStyle w:val="15"/>
        </w:rPr>
      </w:pPr>
      <w:bookmarkStart w:id="57" w:name="_Toc15396608"/>
      <w:bookmarkStart w:id="58" w:name="_Toc15377214"/>
      <w:bookmarkStart w:id="59" w:name="_Toc2382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57"/>
      <w:bookmarkEnd w:id="58"/>
      <w:bookmarkEnd w:id="59"/>
      <w:r>
        <w:rPr>
          <w:rStyle w:val="15"/>
          <w:rFonts w:ascii="黑体" w:hAnsi="黑体" w:eastAsia="黑体"/>
          <w:b w:val="0"/>
        </w:rPr>
        <w:tab/>
      </w:r>
    </w:p>
    <w:p>
      <w:pPr>
        <w:numPr>
          <w:ilvl w:val="0"/>
          <w:numId w:val="0"/>
        </w:numPr>
        <w:spacing w:line="600" w:lineRule="exact"/>
        <w:ind w:firstLine="640" w:firstLineChars="20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2020年一般公共预算财政拨款基本支出2344.33万元，其中：</w:t>
      </w:r>
    </w:p>
    <w:p>
      <w:pPr>
        <w:numPr>
          <w:ilvl w:val="0"/>
          <w:numId w:val="0"/>
        </w:numPr>
        <w:spacing w:line="600" w:lineRule="exact"/>
        <w:ind w:firstLine="640" w:firstLineChars="20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人员经费1908.6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Times New Roman" w:hAnsi="Times New Roman" w:eastAsia="方正仿宋简体" w:cs="Times New Roman"/>
          <w:color w:val="000000"/>
          <w:kern w:val="0"/>
          <w:sz w:val="32"/>
          <w:szCs w:val="32"/>
          <w:lang w:val="en-US" w:eastAsia="zh-CN" w:bidi="ar-SA"/>
        </w:rPr>
        <w:br w:type="textWrapping"/>
      </w:r>
      <w:r>
        <w:rPr>
          <w:rFonts w:hint="eastAsia" w:ascii="Times New Roman" w:hAnsi="Times New Roman" w:eastAsia="方正仿宋简体" w:cs="Times New Roman"/>
          <w:color w:val="000000"/>
          <w:kern w:val="0"/>
          <w:sz w:val="32"/>
          <w:szCs w:val="32"/>
          <w:lang w:val="en-US" w:eastAsia="zh-CN" w:bidi="ar-SA"/>
        </w:rPr>
        <w:t>　　日常公用经费435.73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5"/>
          <w:rFonts w:ascii="黑体" w:hAnsi="黑体" w:eastAsia="黑体"/>
          <w:b w:val="0"/>
        </w:rPr>
      </w:pPr>
      <w:bookmarkStart w:id="60" w:name="_Toc15396609"/>
      <w:bookmarkStart w:id="61" w:name="_Toc15377215"/>
      <w:bookmarkStart w:id="62" w:name="_Toc16724"/>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0"/>
      <w:bookmarkEnd w:id="61"/>
      <w:bookmarkEnd w:id="62"/>
    </w:p>
    <w:p>
      <w:pPr>
        <w:spacing w:line="600" w:lineRule="exact"/>
        <w:ind w:firstLine="640"/>
        <w:outlineLvl w:val="2"/>
        <w:rPr>
          <w:rFonts w:ascii="仿宋" w:hAnsi="仿宋" w:eastAsia="仿宋"/>
          <w:b/>
          <w:color w:val="000000"/>
          <w:sz w:val="32"/>
          <w:szCs w:val="32"/>
        </w:rPr>
      </w:pPr>
      <w:bookmarkStart w:id="63" w:name="_Toc16461"/>
      <w:bookmarkStart w:id="64" w:name="_Toc15377216"/>
      <w:r>
        <w:rPr>
          <w:rFonts w:hint="eastAsia" w:ascii="仿宋" w:hAnsi="仿宋" w:eastAsia="仿宋"/>
          <w:b/>
          <w:color w:val="000000"/>
          <w:sz w:val="32"/>
          <w:szCs w:val="32"/>
        </w:rPr>
        <w:t>（一）“三公”经费财政拨款支出决算总体情况说明</w:t>
      </w:r>
      <w:bookmarkEnd w:id="63"/>
      <w:bookmarkEnd w:id="64"/>
    </w:p>
    <w:p>
      <w:pPr>
        <w:numPr>
          <w:ilvl w:val="0"/>
          <w:numId w:val="0"/>
        </w:numPr>
        <w:spacing w:line="600" w:lineRule="exact"/>
        <w:ind w:firstLine="640" w:firstLineChars="20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2020年“三公”经费财政拨款支出决算为65.39万元，完成预算92%。决算数小于预算数的主要原因是接待费支出的节支。</w:t>
      </w:r>
    </w:p>
    <w:p>
      <w:pPr>
        <w:spacing w:line="600" w:lineRule="exact"/>
        <w:ind w:firstLine="640"/>
        <w:outlineLvl w:val="2"/>
        <w:rPr>
          <w:rFonts w:ascii="仿宋" w:hAnsi="仿宋" w:eastAsia="仿宋"/>
          <w:b/>
          <w:color w:val="000000"/>
          <w:sz w:val="32"/>
          <w:szCs w:val="32"/>
        </w:rPr>
      </w:pPr>
      <w:bookmarkStart w:id="65" w:name="_Toc15377217"/>
      <w:bookmarkStart w:id="66" w:name="_Toc28273"/>
      <w:r>
        <w:rPr>
          <w:rFonts w:hint="eastAsia" w:ascii="仿宋" w:hAnsi="仿宋" w:eastAsia="仿宋"/>
          <w:b/>
          <w:color w:val="000000"/>
          <w:sz w:val="32"/>
          <w:szCs w:val="32"/>
        </w:rPr>
        <w:t>（二）“三公”经费财政拨款支出决算具体情况说明</w:t>
      </w:r>
      <w:bookmarkEnd w:id="65"/>
      <w:bookmarkEnd w:id="66"/>
    </w:p>
    <w:p>
      <w:pPr>
        <w:numPr>
          <w:ilvl w:val="0"/>
          <w:numId w:val="0"/>
        </w:numPr>
        <w:spacing w:line="600" w:lineRule="exact"/>
        <w:ind w:firstLine="640" w:firstLineChars="20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drawing>
          <wp:anchor distT="0" distB="0" distL="114300" distR="114300" simplePos="0" relativeHeight="251664384" behindDoc="0" locked="0" layoutInCell="1" allowOverlap="1">
            <wp:simplePos x="0" y="0"/>
            <wp:positionH relativeFrom="column">
              <wp:posOffset>565785</wp:posOffset>
            </wp:positionH>
            <wp:positionV relativeFrom="paragraph">
              <wp:posOffset>1556385</wp:posOffset>
            </wp:positionV>
            <wp:extent cx="4366260" cy="2324100"/>
            <wp:effectExtent l="0" t="0" r="1524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imes New Roman" w:hAnsi="Times New Roman" w:eastAsia="方正仿宋简体" w:cs="Times New Roman"/>
          <w:color w:val="000000"/>
          <w:kern w:val="0"/>
          <w:sz w:val="32"/>
          <w:szCs w:val="32"/>
          <w:lang w:val="en-US" w:eastAsia="zh-CN" w:bidi="ar-SA"/>
        </w:rPr>
        <w:t>2020年“三公”经费财政拨款支出决算中，因公出国（境）费支出决算0万元；公务用车购置及运行维护费支出决算64.27万元，占98.3%；公务接待费支出决算1.12万元，占1.7%。具体情况如下：</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Times New Roman" w:hAnsi="Times New Roman" w:eastAsia="方正仿宋简体" w:cs="Times New Roman"/>
          <w:color w:val="000000"/>
          <w:kern w:val="0"/>
          <w:sz w:val="32"/>
          <w:szCs w:val="32"/>
          <w:lang w:val="en-US" w:eastAsia="zh-CN" w:bidi="ar-SA"/>
        </w:rPr>
        <w:t>64.27万元</w:t>
      </w:r>
      <w:r>
        <w:rPr>
          <w:rFonts w:hint="eastAsia" w:eastAsia="方正仿宋简体" w:cs="Times New Roman"/>
          <w:color w:val="000000"/>
          <w:kern w:val="0"/>
          <w:sz w:val="32"/>
          <w:szCs w:val="32"/>
          <w:lang w:val="en-US" w:eastAsia="zh-CN" w:bidi="ar-SA"/>
        </w:rPr>
        <w:t>，</w:t>
      </w:r>
      <w:r>
        <w:rPr>
          <w:rFonts w:hint="eastAsia" w:ascii="Times New Roman" w:hAnsi="Times New Roman" w:eastAsia="方正仿宋简体" w:cs="Times New Roman"/>
          <w:color w:val="000000"/>
          <w:kern w:val="0"/>
          <w:sz w:val="32"/>
          <w:szCs w:val="32"/>
          <w:lang w:val="en-US" w:eastAsia="zh-CN" w:bidi="ar-SA"/>
        </w:rPr>
        <w:t>完成预算97%。公务用车购置及运行维护费支出决算比2019年增加6.67万元，增加11.6%。主要原因是车辆老化</w:t>
      </w:r>
      <w:r>
        <w:rPr>
          <w:rFonts w:hint="eastAsia" w:eastAsia="方正仿宋简体" w:cs="Times New Roman"/>
          <w:color w:val="000000"/>
          <w:kern w:val="0"/>
          <w:sz w:val="32"/>
          <w:szCs w:val="32"/>
          <w:lang w:val="en-US" w:eastAsia="zh-CN" w:bidi="ar-SA"/>
        </w:rPr>
        <w:t>，</w:t>
      </w:r>
      <w:r>
        <w:rPr>
          <w:rFonts w:hint="eastAsia" w:ascii="Times New Roman" w:hAnsi="Times New Roman" w:eastAsia="方正仿宋简体" w:cs="Times New Roman"/>
          <w:color w:val="000000"/>
          <w:kern w:val="0"/>
          <w:sz w:val="32"/>
          <w:szCs w:val="32"/>
          <w:lang w:val="en-US" w:eastAsia="zh-CN" w:bidi="ar-SA"/>
        </w:rPr>
        <w:t>大修理费用较高。</w:t>
      </w:r>
    </w:p>
    <w:p>
      <w:pPr>
        <w:spacing w:line="600" w:lineRule="exact"/>
        <w:ind w:firstLine="640" w:firstLineChars="200"/>
        <w:rPr>
          <w:rFonts w:hint="eastAsia" w:ascii="Times New Roman" w:hAnsi="Times New Roman" w:eastAsia="方正仿宋简体" w:cs="Times New Roman"/>
          <w:color w:val="000000"/>
          <w:kern w:val="0"/>
          <w:sz w:val="32"/>
          <w:szCs w:val="32"/>
          <w:lang w:val="en-US" w:eastAsia="zh-CN" w:bidi="ar-SA"/>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Times New Roman" w:hAnsi="Times New Roman" w:eastAsia="方正仿宋简体" w:cs="Times New Roman"/>
          <w:color w:val="000000"/>
          <w:kern w:val="0"/>
          <w:sz w:val="32"/>
          <w:szCs w:val="32"/>
          <w:lang w:val="en-US" w:eastAsia="zh-CN" w:bidi="ar-SA"/>
        </w:rPr>
        <w:t>截至2020年12月底，单位共有公务用车17辆，其中：主要领导干部用车0辆、机要通信用车0辆、应急保障用车1辆、 执法执勤用车0辆，特种专业技术用车16辆。</w:t>
      </w:r>
    </w:p>
    <w:p>
      <w:pPr>
        <w:spacing w:line="600" w:lineRule="exact"/>
        <w:ind w:firstLine="640"/>
        <w:rPr>
          <w:rFonts w:hint="default" w:ascii="Times New Roman" w:hAnsi="Times New Roman" w:eastAsia="方正仿宋简体" w:cs="Times New Roman"/>
          <w:color w:val="000000"/>
          <w:kern w:val="0"/>
          <w:sz w:val="32"/>
          <w:szCs w:val="32"/>
          <w:lang w:val="en-US" w:eastAsia="zh-CN" w:bidi="ar-SA"/>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64.27</w:t>
      </w:r>
      <w:r>
        <w:rPr>
          <w:rFonts w:hint="eastAsia" w:ascii="仿宋_GB2312" w:eastAsia="仿宋_GB2312"/>
          <w:color w:val="000000"/>
          <w:sz w:val="32"/>
          <w:szCs w:val="32"/>
        </w:rPr>
        <w:t>万元。</w:t>
      </w:r>
      <w:r>
        <w:rPr>
          <w:rFonts w:hint="eastAsia" w:ascii="Times New Roman" w:hAnsi="Times New Roman" w:eastAsia="方正仿宋简体" w:cs="Times New Roman"/>
          <w:color w:val="000000"/>
          <w:kern w:val="0"/>
          <w:sz w:val="32"/>
          <w:szCs w:val="32"/>
          <w:lang w:val="en-US" w:eastAsia="zh-CN" w:bidi="ar-SA"/>
        </w:rPr>
        <w:t>主要用于城管执法等所需的公务用车燃料费、维修费、过路过桥费、保险费等支出。</w:t>
      </w:r>
      <w:r>
        <w:rPr>
          <w:rFonts w:hint="eastAsia" w:eastAsia="方正仿宋简体" w:cs="Times New Roman"/>
          <w:color w:val="000000"/>
          <w:kern w:val="0"/>
          <w:sz w:val="32"/>
          <w:szCs w:val="32"/>
          <w:lang w:val="en-US" w:eastAsia="zh-CN" w:bidi="ar-SA"/>
        </w:rPr>
        <w:t>公务用车运行维护费用支出决算比2019年增加6.67万元，主要原因是车辆老化，维护运行成本增加。</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Times New Roman" w:hAnsi="Times New Roman" w:eastAsia="方正仿宋简体" w:cs="Times New Roman"/>
          <w:color w:val="000000"/>
          <w:kern w:val="0"/>
          <w:sz w:val="32"/>
          <w:szCs w:val="32"/>
          <w:lang w:val="en-US" w:eastAsia="zh-CN" w:bidi="ar-SA"/>
        </w:rPr>
        <w:t>1.12万元，完成预算23.3%。公务接待费支出决算比2019年减少0.47万元，下降30%。主要原因是疫情影响，接待次数减少。</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国内公务接待支出1.12万元，主要用于执法业务交流活动开支的交通费、住宿费、用餐费等。</w:t>
      </w:r>
      <w:bookmarkStart w:id="67" w:name="_Toc15396610"/>
      <w:bookmarkStart w:id="68" w:name="_Toc15377218"/>
    </w:p>
    <w:p>
      <w:pPr>
        <w:spacing w:line="600" w:lineRule="exact"/>
        <w:ind w:firstLine="640"/>
        <w:rPr>
          <w:rFonts w:hint="eastAsia" w:ascii="仿宋_GB2312" w:eastAsia="仿宋_GB2312"/>
          <w:color w:val="000000"/>
          <w:sz w:val="32"/>
          <w:szCs w:val="32"/>
        </w:rPr>
      </w:pPr>
    </w:p>
    <w:p>
      <w:pPr>
        <w:spacing w:line="600" w:lineRule="exact"/>
        <w:ind w:firstLine="640"/>
        <w:outlineLvl w:val="1"/>
        <w:rPr>
          <w:rStyle w:val="15"/>
          <w:rFonts w:ascii="黑体" w:hAnsi="黑体" w:eastAsia="黑体"/>
        </w:rPr>
      </w:pPr>
      <w:bookmarkStart w:id="69" w:name="_Toc6217"/>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67"/>
      <w:bookmarkEnd w:id="68"/>
      <w:bookmarkEnd w:id="69"/>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2020年政府性基金预算拨款支出3838.91万元。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5"/>
          <w:rFonts w:ascii="黑体" w:hAnsi="黑体" w:eastAsia="黑体"/>
          <w:b w:val="0"/>
        </w:rPr>
      </w:pPr>
      <w:bookmarkStart w:id="70" w:name="_Toc7589"/>
      <w:bookmarkStart w:id="71" w:name="_Toc15377219"/>
      <w:bookmarkStart w:id="72" w:name="_Toc15396611"/>
      <w:r>
        <w:rPr>
          <w:rStyle w:val="15"/>
          <w:rFonts w:hint="eastAsia" w:ascii="黑体" w:hAnsi="黑体" w:eastAsia="黑体"/>
          <w:b w:val="0"/>
        </w:rPr>
        <w:t>国有资本经营预算支出决算情况说明</w:t>
      </w:r>
      <w:bookmarkEnd w:id="70"/>
      <w:bookmarkEnd w:id="71"/>
      <w:bookmarkEnd w:id="72"/>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5"/>
          <w:rFonts w:ascii="黑体" w:hAnsi="黑体" w:eastAsia="黑体"/>
        </w:rPr>
      </w:pPr>
      <w:bookmarkStart w:id="73" w:name="_Toc15396612"/>
      <w:bookmarkStart w:id="74" w:name="_Toc15377221"/>
      <w:bookmarkStart w:id="75" w:name="_Toc26072"/>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73"/>
      <w:bookmarkEnd w:id="74"/>
      <w:bookmarkEnd w:id="75"/>
    </w:p>
    <w:p>
      <w:pPr>
        <w:spacing w:line="600" w:lineRule="exact"/>
        <w:ind w:firstLine="643" w:firstLineChars="200"/>
        <w:outlineLvl w:val="2"/>
        <w:rPr>
          <w:rFonts w:ascii="仿宋" w:hAnsi="仿宋" w:eastAsia="仿宋"/>
          <w:color w:val="000000"/>
          <w:sz w:val="32"/>
          <w:szCs w:val="32"/>
        </w:rPr>
      </w:pPr>
      <w:bookmarkStart w:id="76" w:name="_Toc15377222"/>
      <w:bookmarkStart w:id="77" w:name="_Toc8605"/>
      <w:r>
        <w:rPr>
          <w:rFonts w:hint="eastAsia" w:ascii="仿宋" w:hAnsi="仿宋" w:eastAsia="仿宋"/>
          <w:b/>
          <w:color w:val="000000"/>
          <w:sz w:val="32"/>
          <w:szCs w:val="32"/>
        </w:rPr>
        <w:t>（一）机关运行经费支出情况</w:t>
      </w:r>
      <w:bookmarkEnd w:id="76"/>
      <w:bookmarkEnd w:id="77"/>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2020年，机关运行经费支出419.02万元，比2019年增加12.3万元，增加3%。主要原因是2020年人员增加。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3"/>
      <w:bookmarkStart w:id="79" w:name="_Toc6560"/>
      <w:r>
        <w:rPr>
          <w:rFonts w:hint="eastAsia" w:ascii="仿宋" w:hAnsi="仿宋" w:eastAsia="仿宋"/>
          <w:b/>
          <w:color w:val="000000"/>
          <w:sz w:val="32"/>
          <w:szCs w:val="32"/>
        </w:rPr>
        <w:t>（二）政府采购支出情况</w:t>
      </w:r>
      <w:bookmarkEnd w:id="78"/>
      <w:bookmarkEnd w:id="79"/>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2020年，政府采购支出总额272.12万元，其中：政府采购货物支出18.62万元、政府采购工程支出0万元、政府采购服务支出252.5万元。主要用于城管执法购买服务。授予中小企业合同金额18.17万元，占政府采购支出总额的6.68%，其中：授予小微企业合同金额18.17万元，占政府采购支出总额的6.68%。</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377224"/>
      <w:bookmarkStart w:id="81" w:name="_Toc13905"/>
      <w:r>
        <w:rPr>
          <w:rFonts w:hint="eastAsia" w:ascii="仿宋" w:hAnsi="仿宋" w:eastAsia="仿宋"/>
          <w:b/>
          <w:color w:val="000000"/>
          <w:sz w:val="32"/>
          <w:szCs w:val="32"/>
        </w:rPr>
        <w:t>（三）国有资产占有使用情况</w:t>
      </w:r>
      <w:bookmarkEnd w:id="80"/>
      <w:bookmarkEnd w:id="81"/>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截至2020年12月31日，巴中市城市管理行政执法局共有车辆17辆，其中：主要领导干部用车0辆、机要通信用车0辆、应急保障用车1辆、 执法执勤用车0辆，特种专业技术用车16辆。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32255"/>
      <w:r>
        <w:rPr>
          <w:rFonts w:hint="eastAsia" w:ascii="仿宋" w:hAnsi="仿宋" w:eastAsia="仿宋"/>
          <w:b/>
          <w:color w:val="000000"/>
          <w:sz w:val="32"/>
          <w:szCs w:val="32"/>
        </w:rPr>
        <w:t>（四）预算绩效管理情况。</w:t>
      </w:r>
      <w:bookmarkEnd w:id="82"/>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根据预算绩效管理要求，本单位在年初预算编制阶段，组织对拆除违法建设、违规设置构筑物拆（清）除经费项目开展了预算事前绩效评估，对</w:t>
      </w:r>
      <w:r>
        <w:rPr>
          <w:rFonts w:hint="eastAsia" w:eastAsia="方正仿宋简体" w:cs="Times New Roman"/>
          <w:color w:val="000000"/>
          <w:kern w:val="0"/>
          <w:sz w:val="32"/>
          <w:szCs w:val="32"/>
          <w:lang w:val="en-US" w:eastAsia="zh-CN" w:bidi="ar-SA"/>
        </w:rPr>
        <w:t>6</w:t>
      </w:r>
      <w:r>
        <w:rPr>
          <w:rFonts w:hint="eastAsia" w:ascii="Times New Roman" w:hAnsi="Times New Roman" w:eastAsia="方正仿宋简体" w:cs="Times New Roman"/>
          <w:color w:val="000000"/>
          <w:kern w:val="0"/>
          <w:sz w:val="32"/>
          <w:szCs w:val="32"/>
          <w:lang w:val="en-US" w:eastAsia="zh-CN" w:bidi="ar-SA"/>
        </w:rPr>
        <w:t>个重点项目编制了绩效目标，预算执行过程中，选取</w:t>
      </w:r>
      <w:r>
        <w:rPr>
          <w:rFonts w:hint="eastAsia" w:eastAsia="方正仿宋简体" w:cs="Times New Roman"/>
          <w:color w:val="000000"/>
          <w:kern w:val="0"/>
          <w:sz w:val="32"/>
          <w:szCs w:val="32"/>
          <w:lang w:val="en-US" w:eastAsia="zh-CN" w:bidi="ar-SA"/>
        </w:rPr>
        <w:t>5</w:t>
      </w:r>
      <w:r>
        <w:rPr>
          <w:rFonts w:hint="eastAsia" w:ascii="Times New Roman" w:hAnsi="Times New Roman" w:eastAsia="方正仿宋简体" w:cs="Times New Roman"/>
          <w:color w:val="000000"/>
          <w:kern w:val="0"/>
          <w:sz w:val="32"/>
          <w:szCs w:val="32"/>
          <w:lang w:val="en-US" w:eastAsia="zh-CN" w:bidi="ar-SA"/>
        </w:rPr>
        <w:t>个项目开展绩效监控，并及时组织绩效评价。</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本部门按要求对2020年部门整体支出开展绩效自评，从评价情况来看根据市委</w:t>
      </w:r>
      <w:r>
        <w:rPr>
          <w:rFonts w:hint="eastAsia" w:eastAsia="方正仿宋简体" w:cs="Times New Roman"/>
          <w:color w:val="000000"/>
          <w:kern w:val="0"/>
          <w:sz w:val="32"/>
          <w:szCs w:val="32"/>
          <w:lang w:val="en-US" w:eastAsia="zh-CN" w:bidi="ar-SA"/>
        </w:rPr>
        <w:t>、市</w:t>
      </w:r>
      <w:r>
        <w:rPr>
          <w:rFonts w:hint="eastAsia" w:ascii="Times New Roman" w:hAnsi="Times New Roman" w:eastAsia="方正仿宋简体" w:cs="Times New Roman"/>
          <w:color w:val="000000"/>
          <w:kern w:val="0"/>
          <w:sz w:val="32"/>
          <w:szCs w:val="32"/>
          <w:lang w:val="en-US" w:eastAsia="zh-CN" w:bidi="ar-SA"/>
        </w:rPr>
        <w:t>政府的工作部署和安排，2020年我局较好地</w:t>
      </w:r>
      <w:r>
        <w:rPr>
          <w:rFonts w:hint="eastAsia" w:eastAsia="方正仿宋简体" w:cs="Times New Roman"/>
          <w:color w:val="000000"/>
          <w:kern w:val="0"/>
          <w:sz w:val="32"/>
          <w:szCs w:val="32"/>
          <w:lang w:val="en-US" w:eastAsia="zh-CN" w:bidi="ar-SA"/>
        </w:rPr>
        <w:t>完成了</w:t>
      </w:r>
      <w:r>
        <w:rPr>
          <w:rFonts w:hint="eastAsia" w:ascii="Times New Roman" w:hAnsi="Times New Roman" w:eastAsia="方正仿宋简体" w:cs="Times New Roman"/>
          <w:color w:val="000000"/>
          <w:kern w:val="0"/>
          <w:sz w:val="32"/>
          <w:szCs w:val="32"/>
          <w:lang w:val="en-US" w:eastAsia="zh-CN" w:bidi="ar-SA"/>
        </w:rPr>
        <w:t>各项城市管理工作任务，重点工作任务实际完成率为100%，达到了预期的绩效目标。</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Times New Roman" w:hAnsi="Times New Roman" w:eastAsia="方正仿宋简体" w:cs="Times New Roman"/>
          <w:color w:val="000000"/>
          <w:kern w:val="0"/>
          <w:sz w:val="32"/>
          <w:szCs w:val="32"/>
          <w:lang w:val="en-US" w:eastAsia="zh-CN" w:bidi="ar-SA"/>
        </w:rPr>
        <w:t>本部门在2020年度部门决算中反映“拆除违法建设、违规设置构筑物拆（清）除经费”“信访维稳工作经费”“三违”治理工作（督查）经费</w:t>
      </w:r>
      <w:r>
        <w:rPr>
          <w:rFonts w:hint="eastAsia" w:eastAsia="方正仿宋简体" w:cs="Times New Roman"/>
          <w:color w:val="000000"/>
          <w:kern w:val="0"/>
          <w:sz w:val="32"/>
          <w:szCs w:val="32"/>
          <w:lang w:val="en-US" w:eastAsia="zh-CN" w:bidi="ar-SA"/>
        </w:rPr>
        <w:t>”</w:t>
      </w:r>
      <w:r>
        <w:rPr>
          <w:rFonts w:hint="eastAsia" w:ascii="Times New Roman" w:hAnsi="Times New Roman" w:eastAsia="方正仿宋简体" w:cs="Times New Roman"/>
          <w:color w:val="000000"/>
          <w:kern w:val="0"/>
          <w:sz w:val="32"/>
          <w:szCs w:val="32"/>
          <w:lang w:val="en-US" w:eastAsia="zh-CN" w:bidi="ar-SA"/>
        </w:rPr>
        <w:t>“城市管理购买社会服务经费支出”等1</w:t>
      </w:r>
      <w:r>
        <w:rPr>
          <w:rFonts w:hint="eastAsia" w:eastAsia="方正仿宋简体" w:cs="Times New Roman"/>
          <w:color w:val="000000"/>
          <w:kern w:val="0"/>
          <w:sz w:val="32"/>
          <w:szCs w:val="32"/>
          <w:lang w:val="en-US" w:eastAsia="zh-CN" w:bidi="ar-SA"/>
        </w:rPr>
        <w:t>4</w:t>
      </w:r>
      <w:r>
        <w:rPr>
          <w:rFonts w:hint="eastAsia" w:ascii="Times New Roman" w:hAnsi="Times New Roman" w:eastAsia="方正仿宋简体" w:cs="Times New Roman"/>
          <w:color w:val="000000"/>
          <w:kern w:val="0"/>
          <w:sz w:val="32"/>
          <w:szCs w:val="32"/>
          <w:lang w:val="en-US" w:eastAsia="zh-CN" w:bidi="ar-SA"/>
        </w:rPr>
        <w:t>个项目绩效目标实际完成情况。</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1）城市管理购买服务支出项目绩效目标完成情况综述。项目全年预算数810万元，执行数为300万元，完成预算的37%。通过项目实施，保障城市管理购买社会服务支出，实现了城市管理规范有序，发现的主要问题：考核不够完善，资金支付进度较慢。下一步改进措施：进一步完善考核机制，加强资金的统筹协调，加快支付进度。</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2）拆除违法建设、违规设置构筑物拆（清）除经费项目绩效目标完成情况综述。项目全年预算数200万元，执行数为200万元，完成预算的100%。通过项目实施，保障违建拆除支出需求，全年完成违建拆除任务12.3万平方米，达到了逐步消除存量违建的效果。发现的主要问题：资金支付进度较慢。下一步改进措施：加强资金的统筹协调，加快支付进度。</w:t>
      </w:r>
    </w:p>
    <w:p>
      <w:pPr>
        <w:spacing w:line="600" w:lineRule="exact"/>
        <w:ind w:firstLine="640"/>
        <w:rPr>
          <w:rFonts w:hint="eastAsia" w:ascii="Times New Roman" w:hAnsi="Times New Roman" w:eastAsia="方正仿宋简体" w:cs="Times New Roman"/>
          <w:color w:val="000000"/>
          <w:kern w:val="0"/>
          <w:sz w:val="32"/>
          <w:szCs w:val="32"/>
          <w:highlight w:val="none"/>
          <w:lang w:val="en-US" w:eastAsia="zh-CN" w:bidi="ar-SA"/>
        </w:rPr>
      </w:pPr>
      <w:r>
        <w:rPr>
          <w:rFonts w:hint="eastAsia" w:ascii="Times New Roman" w:hAnsi="Times New Roman" w:eastAsia="方正仿宋简体" w:cs="Times New Roman"/>
          <w:color w:val="000000"/>
          <w:kern w:val="0"/>
          <w:sz w:val="32"/>
          <w:szCs w:val="32"/>
          <w:lang w:val="en-US" w:eastAsia="zh-CN" w:bidi="ar-SA"/>
        </w:rPr>
        <w:t>（3）数字城管信息采集购买服务项目绩效目标完成情况综述。项目全年预算数270万元，执行数为100万元，完</w:t>
      </w:r>
      <w:r>
        <w:rPr>
          <w:rFonts w:hint="eastAsia" w:ascii="Times New Roman" w:hAnsi="Times New Roman" w:eastAsia="方正仿宋简体" w:cs="Times New Roman"/>
          <w:color w:val="000000"/>
          <w:kern w:val="0"/>
          <w:sz w:val="32"/>
          <w:szCs w:val="32"/>
          <w:highlight w:val="none"/>
          <w:lang w:val="en-US" w:eastAsia="zh-CN" w:bidi="ar-SA"/>
        </w:rPr>
        <w:t>成预算的37.04%。“数字城管”平台采集受理城市事（部）件问题22488件，各级各部门处置城市管理问题20920件，问题处置率93.03%，按期处置率提升3.15个百分点，信息采集员自行处置问题9754件。</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4）“三违”治理工作（督查）经费项目绩效目标完成情况综述。项目全年预算数4.5万元，执行数为4.5万元，完成预算的100%。通过项目实施，持续推进违法建设整治“两拆一增”工作，保持新生违法建设零增长，存量违法建设有序消化，积极服务区域经济发展大局、保障重点项目推进、维护社会公平正义。</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5）数字城管平台受理员经费项目绩效目标完成情况综述。项目全年预算数93.7万元，执行数为91.3万元，完成预算的97.44%。通过项目实施，保障受理员经费支出，数字城管热线办理效果较好，群众满意度明显提升。</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01"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城市管理购买服务支出</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巴中市城市管理行政执法局</w:t>
            </w:r>
          </w:p>
        </w:tc>
      </w:tr>
      <w:tr>
        <w:tblPrEx>
          <w:tblCellMar>
            <w:top w:w="0" w:type="dxa"/>
            <w:left w:w="0" w:type="dxa"/>
            <w:bottom w:w="0" w:type="dxa"/>
            <w:right w:w="0" w:type="dxa"/>
          </w:tblCellMar>
        </w:tblPrEx>
        <w:trPr>
          <w:trHeight w:val="302" w:hRule="atLeast"/>
          <w:jc w:val="center"/>
        </w:trPr>
        <w:tc>
          <w:tcPr>
            <w:tcW w:w="390"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lang w:val="en-US" w:eastAsia="zh-CN"/>
              </w:rPr>
            </w:pPr>
            <w:r>
              <w:rPr>
                <w:rFonts w:hint="eastAsia" w:ascii="宋体" w:cs="宋体"/>
                <w:color w:val="000000"/>
                <w:sz w:val="24"/>
                <w:lang w:val="en-US" w:eastAsia="zh-CN"/>
              </w:rPr>
              <w:t>810万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lang w:val="en-US" w:eastAsia="zh-CN"/>
              </w:rPr>
            </w:pPr>
            <w:r>
              <w:rPr>
                <w:rFonts w:hint="eastAsia" w:ascii="宋体" w:cs="宋体"/>
                <w:color w:val="000000"/>
                <w:sz w:val="24"/>
                <w:lang w:val="en-US" w:eastAsia="zh-CN"/>
              </w:rPr>
              <w:t>300万</w:t>
            </w:r>
          </w:p>
        </w:tc>
      </w:tr>
      <w:tr>
        <w:tblPrEx>
          <w:tblCellMar>
            <w:top w:w="0" w:type="dxa"/>
            <w:left w:w="0" w:type="dxa"/>
            <w:bottom w:w="0" w:type="dxa"/>
            <w:right w:w="0" w:type="dxa"/>
          </w:tblCellMar>
        </w:tblPrEx>
        <w:trPr>
          <w:trHeight w:val="358"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810万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300万</w:t>
            </w:r>
          </w:p>
        </w:tc>
      </w:tr>
      <w:tr>
        <w:tblPrEx>
          <w:tblCellMar>
            <w:top w:w="0" w:type="dxa"/>
            <w:left w:w="0" w:type="dxa"/>
            <w:bottom w:w="0" w:type="dxa"/>
            <w:right w:w="0" w:type="dxa"/>
          </w:tblCellMar>
        </w:tblPrEx>
        <w:trPr>
          <w:trHeight w:val="63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其他</w:t>
            </w:r>
            <w:bookmarkStart w:id="135" w:name="_GoBack"/>
            <w:bookmarkEnd w:id="135"/>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239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1.完成</w:t>
            </w:r>
            <w:r>
              <w:rPr>
                <w:rFonts w:hint="eastAsia" w:ascii="宋体" w:hAnsi="宋体" w:cs="宋体"/>
                <w:color w:val="000000"/>
                <w:sz w:val="24"/>
                <w:lang w:eastAsia="zh-CN"/>
              </w:rPr>
              <w:t>对信息</w:t>
            </w:r>
            <w:r>
              <w:rPr>
                <w:rFonts w:hint="eastAsia" w:ascii="宋体" w:hAnsi="宋体" w:cs="宋体"/>
                <w:color w:val="000000"/>
                <w:sz w:val="24"/>
              </w:rPr>
              <w:t>合大厦至江北大道盛华堂片区和龙泉街至火车站等新增区域的</w:t>
            </w:r>
            <w:r>
              <w:rPr>
                <w:rFonts w:hint="eastAsia" w:ascii="宋体" w:hAnsi="宋体" w:cs="宋体"/>
                <w:color w:val="000000"/>
                <w:sz w:val="24"/>
                <w:lang w:eastAsia="zh-CN"/>
              </w:rPr>
              <w:t>城市管理劝导</w:t>
            </w:r>
            <w:r>
              <w:rPr>
                <w:rFonts w:hint="eastAsia" w:ascii="宋体" w:hAnsi="宋体" w:cs="宋体"/>
                <w:color w:val="000000"/>
                <w:sz w:val="24"/>
              </w:rPr>
              <w:t>相关工作  2.对江北大道（盛华堂至党校）至大佛寺桥头、二环路（德阳银行至党校）及支街小巷和江北大道东段（信合大厦—后河桥—插旗山等）区域城市管理的</w:t>
            </w:r>
            <w:r>
              <w:rPr>
                <w:rFonts w:hint="eastAsia" w:ascii="宋体" w:hAnsi="宋体" w:cs="宋体"/>
                <w:color w:val="000000"/>
                <w:sz w:val="24"/>
                <w:lang w:eastAsia="zh-CN"/>
              </w:rPr>
              <w:t>城市管理劝导</w:t>
            </w:r>
            <w:r>
              <w:rPr>
                <w:rFonts w:hint="eastAsia" w:ascii="宋体" w:hAnsi="宋体" w:cs="宋体"/>
                <w:color w:val="000000"/>
                <w:sz w:val="24"/>
              </w:rPr>
              <w:t>相关工作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1.完成</w:t>
            </w:r>
            <w:r>
              <w:rPr>
                <w:rFonts w:hint="eastAsia" w:ascii="宋体" w:hAnsi="宋体" w:cs="宋体"/>
                <w:color w:val="000000"/>
                <w:sz w:val="24"/>
                <w:lang w:eastAsia="zh-CN"/>
              </w:rPr>
              <w:t>对信息</w:t>
            </w:r>
            <w:r>
              <w:rPr>
                <w:rFonts w:hint="eastAsia" w:ascii="宋体" w:hAnsi="宋体" w:cs="宋体"/>
                <w:color w:val="000000"/>
                <w:sz w:val="24"/>
              </w:rPr>
              <w:t>合大厦至江北大道盛华堂片区和龙泉街至火车站等新增区域的</w:t>
            </w:r>
            <w:r>
              <w:rPr>
                <w:rFonts w:hint="eastAsia" w:ascii="宋体" w:hAnsi="宋体" w:cs="宋体"/>
                <w:color w:val="000000"/>
                <w:sz w:val="24"/>
                <w:lang w:eastAsia="zh-CN"/>
              </w:rPr>
              <w:t>城市管理劝导</w:t>
            </w:r>
            <w:r>
              <w:rPr>
                <w:rFonts w:hint="eastAsia" w:ascii="宋体" w:hAnsi="宋体" w:cs="宋体"/>
                <w:color w:val="000000"/>
                <w:sz w:val="24"/>
              </w:rPr>
              <w:t>相关工作  2.对江北大道（盛华堂至党校）至大佛寺桥头、二环路（德阳银行至党校）及支街小巷和江北大道东段（信合大厦—后河桥—插旗山等）区域城市管理的</w:t>
            </w:r>
            <w:r>
              <w:rPr>
                <w:rFonts w:hint="eastAsia" w:ascii="宋体" w:hAnsi="宋体" w:cs="宋体"/>
                <w:color w:val="000000"/>
                <w:sz w:val="24"/>
                <w:lang w:eastAsia="zh-CN"/>
              </w:rPr>
              <w:t>城市管理劝导</w:t>
            </w:r>
            <w:r>
              <w:rPr>
                <w:rFonts w:hint="eastAsia" w:ascii="宋体" w:hAnsi="宋体" w:cs="宋体"/>
                <w:color w:val="000000"/>
                <w:sz w:val="24"/>
              </w:rPr>
              <w:t>相关工作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lang w:eastAsia="zh-CN"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完成区域范围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江北大道（盛华堂至党校）至大佛寺桥头、江北大道东段（信合大厦—后河桥—插旗山等）、信合大厦至江北大道盛华堂片区和龙泉街至火车站</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江北大道（盛华堂至党校）至大佛寺桥头、江北大道东段（信合大厦—后河桥—插旗山等）、信合大厦至江北大道盛华堂片区和龙泉街至火车站</w:t>
            </w:r>
          </w:p>
        </w:tc>
      </w:tr>
      <w:tr>
        <w:tblPrEx>
          <w:tblCellMar>
            <w:top w:w="0" w:type="dxa"/>
            <w:left w:w="0" w:type="dxa"/>
            <w:bottom w:w="0" w:type="dxa"/>
            <w:right w:w="0" w:type="dxa"/>
          </w:tblCellMar>
        </w:tblPrEx>
        <w:trPr>
          <w:trHeight w:val="82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综合考核得分率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月均高于95分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月均高于95分</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城市管理模式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建设推广“小政府、大社会”的现代行政管理模式。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建设推广“小政府、大社会”的现代行政管理模式。</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创造良好的城市环境是广大市民的迫切希望 ，市民满意度大幅提升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创造良好的城市环境是广大市民的迫切希望 ，市民满意度大幅提升</w:t>
            </w:r>
          </w:p>
        </w:tc>
      </w:tr>
    </w:tbl>
    <w:tbl>
      <w:tblPr>
        <w:tblStyle w:val="10"/>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拆除违法建设、违规设置构筑物拆（清）除经费</w:t>
            </w:r>
          </w:p>
        </w:tc>
      </w:tr>
      <w:tr>
        <w:tblPrEx>
          <w:tblCellMar>
            <w:top w:w="0" w:type="dxa"/>
            <w:left w:w="0" w:type="dxa"/>
            <w:bottom w:w="0" w:type="dxa"/>
            <w:right w:w="0" w:type="dxa"/>
          </w:tblCellMar>
        </w:tblPrEx>
        <w:trPr>
          <w:trHeight w:val="90"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200万元</w:t>
            </w:r>
          </w:p>
        </w:tc>
      </w:tr>
      <w:tr>
        <w:tblPrEx>
          <w:tblCellMar>
            <w:top w:w="0" w:type="dxa"/>
            <w:left w:w="0" w:type="dxa"/>
            <w:bottom w:w="0" w:type="dxa"/>
            <w:right w:w="0" w:type="dxa"/>
          </w:tblCellMar>
        </w:tblPrEx>
        <w:trPr>
          <w:trHeight w:val="145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根据我局承担的职能职责，对城市规划区范围</w:t>
            </w:r>
            <w:r>
              <w:rPr>
                <w:rFonts w:hint="eastAsia" w:ascii="宋体" w:hAnsi="宋体" w:cs="宋体"/>
                <w:color w:val="000000"/>
                <w:sz w:val="24"/>
                <w:lang w:eastAsia="zh-CN"/>
              </w:rPr>
              <w:t>内</w:t>
            </w:r>
            <w:r>
              <w:rPr>
                <w:rFonts w:hint="eastAsia" w:ascii="宋体" w:hAnsi="宋体" w:cs="宋体"/>
                <w:color w:val="000000"/>
                <w:sz w:val="24"/>
              </w:rPr>
              <w:t>违法建设、违法构建蓝顶子、破损灯箱广告、违规设置广告、摊棚、违规占道物等进行强制拆除。经初步统计，20</w:t>
            </w:r>
            <w:r>
              <w:rPr>
                <w:rFonts w:hint="eastAsia" w:ascii="宋体" w:hAnsi="宋体" w:cs="宋体"/>
                <w:color w:val="000000"/>
                <w:sz w:val="24"/>
                <w:lang w:val="en-US" w:eastAsia="zh-CN"/>
              </w:rPr>
              <w:t>20</w:t>
            </w:r>
            <w:r>
              <w:rPr>
                <w:rFonts w:hint="eastAsia" w:ascii="宋体" w:hAnsi="宋体" w:cs="宋体"/>
                <w:color w:val="000000"/>
                <w:sz w:val="24"/>
              </w:rPr>
              <w:t>年计划拆除存量违法建设</w:t>
            </w:r>
            <w:r>
              <w:rPr>
                <w:rFonts w:hint="eastAsia" w:ascii="宋体" w:hAnsi="宋体" w:cs="宋体"/>
                <w:color w:val="000000"/>
                <w:sz w:val="24"/>
                <w:lang w:val="en-US" w:eastAsia="zh-CN"/>
              </w:rPr>
              <w:t>6万平方米</w:t>
            </w:r>
            <w:r>
              <w:rPr>
                <w:rFonts w:hint="eastAsia" w:ascii="宋体" w:hAnsi="宋体" w:cs="宋体"/>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全年完成违建拆除任务</w:t>
            </w:r>
            <w:r>
              <w:rPr>
                <w:rFonts w:hint="eastAsia" w:ascii="宋体" w:hAnsi="宋体" w:cs="宋体"/>
                <w:color w:val="000000"/>
                <w:sz w:val="24"/>
                <w:lang w:val="en-US" w:eastAsia="zh-CN"/>
              </w:rPr>
              <w:t>12.3万平方米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拆违面积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6万平方米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12.3万平方米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新生违法建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新生违法建设实现</w:t>
            </w:r>
            <w:r>
              <w:rPr>
                <w:rFonts w:hint="eastAsia" w:ascii="宋体" w:hAnsi="宋体" w:cs="宋体"/>
                <w:color w:val="000000"/>
                <w:sz w:val="24"/>
                <w:lang w:eastAsia="zh-CN"/>
              </w:rPr>
              <w:t>减少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新生违法建设实现</w:t>
            </w:r>
            <w:r>
              <w:rPr>
                <w:rFonts w:hint="eastAsia" w:ascii="宋体" w:hAnsi="宋体" w:cs="宋体"/>
                <w:color w:val="000000"/>
                <w:sz w:val="24"/>
                <w:lang w:eastAsia="zh-CN"/>
              </w:rPr>
              <w:t>减少</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减少拆除成本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减少拆除成本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减少拆除成本</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r>
    </w:tbl>
    <w:p>
      <w:pPr>
        <w:spacing w:line="580" w:lineRule="exact"/>
        <w:rPr>
          <w:rFonts w:ascii="仿宋_GB2312" w:hAnsi="仿宋_GB2312" w:eastAsia="仿宋_GB2312" w:cs="仿宋_GB2312"/>
          <w:sz w:val="32"/>
          <w:szCs w:val="32"/>
        </w:rPr>
      </w:pPr>
    </w:p>
    <w:tbl>
      <w:tblPr>
        <w:tblStyle w:val="10"/>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数字城管信息采集购买服务项目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100万元</w:t>
            </w:r>
          </w:p>
        </w:tc>
      </w:tr>
      <w:tr>
        <w:tblPrEx>
          <w:tblCellMar>
            <w:top w:w="0" w:type="dxa"/>
            <w:left w:w="0" w:type="dxa"/>
            <w:bottom w:w="0" w:type="dxa"/>
            <w:right w:w="0" w:type="dxa"/>
          </w:tblCellMar>
        </w:tblPrEx>
        <w:trPr>
          <w:trHeight w:val="156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5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采集部件</w:t>
            </w:r>
            <w:r>
              <w:rPr>
                <w:rFonts w:hint="eastAsia" w:ascii="宋体" w:hAnsi="宋体" w:cs="宋体"/>
                <w:color w:val="000000"/>
                <w:sz w:val="24"/>
                <w:lang w:val="en-US" w:eastAsia="zh-CN"/>
              </w:rPr>
              <w:t>2万个，按期处置率90%以上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仿宋" w:hAnsi="仿宋" w:eastAsia="仿宋" w:cs="Times New Roman"/>
                <w:kern w:val="0"/>
                <w:sz w:val="32"/>
                <w:szCs w:val="32"/>
                <w:highlight w:val="none"/>
              </w:rPr>
              <w:t>“</w:t>
            </w:r>
            <w:r>
              <w:rPr>
                <w:rFonts w:hint="eastAsia" w:ascii="宋体" w:hAnsi="宋体" w:cs="宋体"/>
                <w:color w:val="000000"/>
                <w:sz w:val="24"/>
                <w:highlight w:val="none"/>
                <w:lang w:val="en-US" w:eastAsia="zh-CN"/>
              </w:rPr>
              <w:t>数字城管”平台采集受理城市事（部）件问题22488件，各级各部门处置城市管理问题20920件，问题处置率93.03%，按期处置率提升3.15个百分点，信息采集员自行处置问题9754件。</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解化解决信访案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20000件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22488</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期处置率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大于等于90%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93.03%</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信息采集员自行处置问题数量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9754件</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r>
    </w:tbl>
    <w:p>
      <w:pPr>
        <w:spacing w:line="580" w:lineRule="exact"/>
        <w:ind w:left="630"/>
        <w:rPr>
          <w:rFonts w:ascii="仿宋_GB2312" w:hAnsi="仿宋_GB2312" w:eastAsia="仿宋_GB2312" w:cs="仿宋_GB2312"/>
          <w:sz w:val="32"/>
          <w:szCs w:val="32"/>
        </w:rPr>
      </w:pPr>
    </w:p>
    <w:tbl>
      <w:tblPr>
        <w:tblStyle w:val="10"/>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316"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ind w:firstLine="3253" w:firstLineChars="900"/>
              <w:jc w:val="both"/>
              <w:textAlignment w:val="center"/>
              <w:rPr>
                <w:rFonts w:hint="eastAsia" w:ascii="宋体" w:hAnsi="宋体" w:eastAsia="宋体" w:cs="宋体"/>
                <w:color w:val="000000"/>
                <w:sz w:val="36"/>
                <w:szCs w:val="36"/>
                <w:lang w:eastAsia="zh-CN"/>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lang w:val="en-US" w:eastAsia="zh-CN"/>
              </w:rPr>
              <w:t xml:space="preserve">                      （</w:t>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rPr>
              <w:t>数字城管平台受理员经费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巴中市城市管理公众服务中心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93.7万元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91.3万元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93.7万元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91.3万元</w:t>
            </w:r>
          </w:p>
        </w:tc>
      </w:tr>
      <w:tr>
        <w:tblPrEx>
          <w:tblCellMar>
            <w:top w:w="0" w:type="dxa"/>
            <w:left w:w="0" w:type="dxa"/>
            <w:bottom w:w="0" w:type="dxa"/>
            <w:right w:w="0" w:type="dxa"/>
          </w:tblCellMar>
        </w:tblPrEx>
        <w:trPr>
          <w:trHeight w:val="170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1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对</w:t>
            </w:r>
            <w:r>
              <w:rPr>
                <w:rFonts w:hint="eastAsia" w:ascii="宋体" w:hAnsi="宋体" w:cs="宋体"/>
                <w:color w:val="000000"/>
                <w:sz w:val="24"/>
                <w:lang w:val="en-US" w:eastAsia="zh-CN"/>
              </w:rPr>
              <w:t>12345、12319热线来电及时处理、处置率99%，提升市民对热线办理满意度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highlight w:val="none"/>
                <w:lang w:val="en-US" w:eastAsia="zh-CN"/>
              </w:rPr>
              <w:t>保障数字化城管信息平台和城管微信平台正常运行，由已招聘的18名受理员为市民提供热线举报、咨询和建议等服务。</w:t>
            </w:r>
          </w:p>
        </w:tc>
      </w:tr>
      <w:tr>
        <w:tblPrEx>
          <w:tblCellMar>
            <w:top w:w="0" w:type="dxa"/>
            <w:left w:w="0" w:type="dxa"/>
            <w:bottom w:w="0" w:type="dxa"/>
            <w:right w:w="0" w:type="dxa"/>
          </w:tblCellMar>
        </w:tblPrEx>
        <w:trPr>
          <w:trHeight w:val="926"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79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保障人员数量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按期完成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highlight w:val="none"/>
                <w:lang w:val="en-US" w:eastAsia="zh-CN"/>
              </w:rPr>
              <w:t>已聘用18名受理员</w:t>
            </w:r>
          </w:p>
        </w:tc>
      </w:tr>
      <w:tr>
        <w:tblPrEx>
          <w:tblCellMar>
            <w:top w:w="0" w:type="dxa"/>
            <w:left w:w="0" w:type="dxa"/>
            <w:bottom w:w="0" w:type="dxa"/>
            <w:right w:w="0" w:type="dxa"/>
          </w:tblCellMar>
        </w:tblPrEx>
        <w:trPr>
          <w:trHeight w:val="111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来电投诉、举报、建议案件处置率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举报成本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电话和微信举报，实行非现场举报，减少举报人的经济成本。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电话和微信举报，实行非现场举报，减少举报人的经济成本。</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城市管理模式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数字城管平台是创建国家卫生城市、全国文明城市的重要组成部分。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数字城管平台是创建国家卫生城市、全国文明城市的重要组成部分。</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r>
    </w:tbl>
    <w:p>
      <w:pPr>
        <w:spacing w:line="580" w:lineRule="exact"/>
        <w:rPr>
          <w:rFonts w:ascii="仿宋_GB2312" w:hAnsi="仿宋_GB2312" w:eastAsia="仿宋_GB2312" w:cs="仿宋_GB2312"/>
          <w:sz w:val="32"/>
          <w:szCs w:val="32"/>
        </w:rPr>
      </w:pPr>
    </w:p>
    <w:tbl>
      <w:tblPr>
        <w:tblStyle w:val="10"/>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8"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“三违”治理工作（督查）经费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150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全市拆违10万平方米，查办案件10件次，新生违建得到更好遏制，城市建成区新生违建得到基本消除</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全市拆违</w:t>
            </w:r>
            <w:r>
              <w:rPr>
                <w:rFonts w:hint="eastAsia" w:ascii="宋体" w:hAnsi="宋体" w:cs="宋体"/>
                <w:color w:val="000000"/>
                <w:sz w:val="24"/>
                <w:lang w:val="en-US" w:eastAsia="zh-CN"/>
              </w:rPr>
              <w:t>12.3</w:t>
            </w:r>
            <w:r>
              <w:rPr>
                <w:rFonts w:hint="eastAsia" w:ascii="宋体" w:hAnsi="宋体" w:cs="宋体"/>
                <w:color w:val="000000"/>
                <w:sz w:val="24"/>
              </w:rPr>
              <w:t>万平方米，查办案件</w:t>
            </w:r>
            <w:r>
              <w:rPr>
                <w:rFonts w:hint="eastAsia" w:ascii="宋体" w:hAnsi="宋体" w:cs="宋体"/>
                <w:color w:val="000000"/>
                <w:sz w:val="24"/>
                <w:lang w:val="en-US" w:eastAsia="zh-CN"/>
              </w:rPr>
              <w:t>27</w:t>
            </w:r>
            <w:r>
              <w:rPr>
                <w:rFonts w:hint="eastAsia" w:ascii="宋体" w:hAnsi="宋体" w:cs="宋体"/>
                <w:color w:val="000000"/>
                <w:sz w:val="24"/>
              </w:rPr>
              <w:t>件次，新生违建得到更好遏制，城市建成区新生违建得到基本消除</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拆违面积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全市依法拆违10万平方米左右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全市依法拆违12.3万平方米左右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案件查办量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查办三违案件10件次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查办三违案件27件次</w:t>
            </w:r>
          </w:p>
        </w:tc>
      </w:tr>
      <w:tr>
        <w:tblPrEx>
          <w:tblCellMar>
            <w:top w:w="0" w:type="dxa"/>
            <w:left w:w="0" w:type="dxa"/>
            <w:bottom w:w="0" w:type="dxa"/>
            <w:right w:w="0" w:type="dxa"/>
          </w:tblCellMar>
        </w:tblPrEx>
        <w:trPr>
          <w:trHeight w:val="5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城市公交发展政策落实及时率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新生违法建设得到全面遏制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新生违法建设得到全面遏制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土地利用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r>
    </w:tbl>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本部门按要求对2020年部门整体支出绩效评价情况开展自评，《巴中市城市管理行政执法局2020年部门整体支出绩效评价报告》见附件（附件1）。</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本部门自行组织对城市管理购买服务项目开展了绩效评价，《城市管理购买服务项目2020年绩效评价报告》见附件（附件2）。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14"/>
          <w:rFonts w:ascii="黑体" w:hAnsi="黑体" w:eastAsia="黑体"/>
          <w:b w:val="0"/>
        </w:rPr>
      </w:pPr>
      <w:bookmarkStart w:id="83" w:name="_Toc15396613"/>
      <w:bookmarkStart w:id="84" w:name="_Toc2529"/>
      <w:bookmarkStart w:id="85" w:name="_Toc15377225"/>
      <w:r>
        <w:rPr>
          <w:rFonts w:hint="eastAsia" w:ascii="黑体" w:hAnsi="黑体" w:eastAsia="黑体"/>
          <w:color w:val="000000"/>
          <w:sz w:val="44"/>
          <w:szCs w:val="44"/>
        </w:rPr>
        <w:t>名</w:t>
      </w:r>
      <w:r>
        <w:rPr>
          <w:rStyle w:val="14"/>
          <w:rFonts w:hint="eastAsia" w:ascii="黑体" w:hAnsi="黑体" w:eastAsia="黑体"/>
          <w:b w:val="0"/>
        </w:rPr>
        <w:t>词解释</w:t>
      </w:r>
      <w:bookmarkEnd w:id="83"/>
      <w:bookmarkEnd w:id="84"/>
      <w:bookmarkEnd w:id="85"/>
    </w:p>
    <w:p>
      <w:pPr>
        <w:spacing w:line="600" w:lineRule="exact"/>
        <w:jc w:val="left"/>
        <w:rPr>
          <w:rFonts w:ascii="宋体"/>
          <w:b/>
          <w:color w:val="000000"/>
          <w:sz w:val="44"/>
          <w:szCs w:val="44"/>
        </w:rPr>
      </w:pPr>
    </w:p>
    <w:p>
      <w:pPr>
        <w:pStyle w:val="17"/>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s="Times New Roman"/>
          <w:color w:val="000000"/>
          <w:sz w:val="32"/>
          <w:szCs w:val="32"/>
        </w:rPr>
        <w:t>1.财政拨款收入：</w:t>
      </w:r>
      <w:r>
        <w:rPr>
          <w:rFonts w:hint="eastAsia" w:ascii="仿宋_GB2312" w:hAnsi="Times New Roman" w:eastAsia="仿宋_GB2312"/>
          <w:sz w:val="32"/>
          <w:szCs w:val="32"/>
        </w:rPr>
        <w:t>指单位从同级财政部门取得的财政预算资金。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2.事业收入：指事业单位开展专业业务活动及辅助活动所取得的收入。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3.经营收入：指事业单位在专业业务活动及其辅助活动之外开展非独立核算经营活动取得的收入。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4.其他收入：指除上述“财政拨款收入”、“事业收入”、“经营收入”等以外的收入。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6.年初结转和结余：指以前年度尚未完成、结转到本年按有关规定继续使用的资金。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7.城乡社区支出（类）城乡社区管理事务（款）行政运行（项）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反映行政单位的基本支出。</w:t>
      </w:r>
    </w:p>
    <w:p>
      <w:pPr>
        <w:autoSpaceDE w:val="0"/>
        <w:autoSpaceDN w:val="0"/>
        <w:adjustRightInd w:val="0"/>
        <w:spacing w:line="600" w:lineRule="exact"/>
        <w:jc w:val="left"/>
        <w:rPr>
          <w:rFonts w:hint="eastAsia" w:ascii="仿宋_GB2312" w:hAnsi="Times New Roman" w:eastAsia="仿宋_GB2312" w:cs="Times New Roman"/>
          <w:color w:val="000000"/>
          <w:sz w:val="32"/>
          <w:szCs w:val="32"/>
        </w:rPr>
      </w:pPr>
      <w:r>
        <w:rPr>
          <w:rFonts w:hint="eastAsia" w:ascii="仿宋_GB2312"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8.城乡社区支出（类）城乡社区管理事务（款）一般行政管理事务（项）：反映行政单位</w:t>
      </w:r>
      <w:r>
        <w:rPr>
          <w:rFonts w:hint="eastAsia" w:ascii="仿宋_GB2312" w:eastAsia="仿宋_GB2312" w:cs="Times New Roman"/>
          <w:color w:val="000000"/>
          <w:sz w:val="32"/>
          <w:szCs w:val="32"/>
          <w:lang w:eastAsia="zh-CN"/>
        </w:rPr>
        <w:t>未设置</w:t>
      </w:r>
      <w:r>
        <w:rPr>
          <w:rFonts w:hint="eastAsia" w:ascii="仿宋_GB2312" w:hAnsi="Times New Roman" w:eastAsia="仿宋_GB2312" w:cs="Times New Roman"/>
          <w:color w:val="000000"/>
          <w:sz w:val="32"/>
          <w:szCs w:val="32"/>
        </w:rPr>
        <w:t>顶级科目的其他项目支出。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9.城乡社区支出（类）城乡社区管理事务（款）城管执法（项）：反映城市管理综合行政执法、加强城市市容肯环境卫生方面的支出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10.教育支出（类）进修及培训（款）培训支出（项）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反映各部门安排的用于培训的支出。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11.社会保障和就业（类）财政对社会保险基金的补助（款）财政对基本养老保险基金的补助（项）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反映财政对职工基本养老保险基金的补助支出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12.社会保障和就业（类）财政对社会保险基金的补助（款）财政对其他社会保险基金的补助（项）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反映财政对城乡居民基本养老保险基金的补助支出。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13.医疗卫生与计划生育（类）医疗保障（款）行政单位医疗（项）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反映财政部门集中安排的事业单位基本医疗保险缴费经费，未参加医疗保险胡事业单位的公费医疗经费，按照国家规定享受离休人员待遇人员的医疗经费。</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14.住房保障支出（类）住房改革支出（款）住房公积金（项）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反映行政事业单位按照人力资源和社会保障部、财政部规定的基本工资和津贴补贴以及规定的比例</w:t>
      </w:r>
      <w:r>
        <w:rPr>
          <w:rFonts w:hint="eastAsia" w:ascii="仿宋_GB2312" w:eastAsia="仿宋_GB2312" w:cs="Times New Roman"/>
          <w:color w:val="000000"/>
          <w:sz w:val="32"/>
          <w:szCs w:val="32"/>
          <w:lang w:eastAsia="zh-CN"/>
        </w:rPr>
        <w:t>为</w:t>
      </w:r>
      <w:r>
        <w:rPr>
          <w:rFonts w:hint="eastAsia" w:ascii="仿宋_GB2312" w:hAnsi="Times New Roman" w:eastAsia="仿宋_GB2312" w:cs="Times New Roman"/>
          <w:color w:val="000000"/>
          <w:sz w:val="32"/>
          <w:szCs w:val="32"/>
        </w:rPr>
        <w:t xml:space="preserve">职工缴纳的住房公积金。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15.结余分配：指事业单位按规定提取的职工福利基金、事业基金和缴纳的所得税，以及建设单位按规定应交回的基本建设竣工项目结余资金。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jc w:val="center"/>
        <w:rPr>
          <w:rFonts w:hint="eastAsia"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p>
    <w:p>
      <w:pPr>
        <w:jc w:val="both"/>
        <w:rPr>
          <w:rFonts w:hint="eastAsia" w:ascii="仿宋_GB2312" w:eastAsia="仿宋_GB2312"/>
          <w:sz w:val="32"/>
          <w:szCs w:val="32"/>
        </w:rPr>
      </w:pPr>
      <w:r>
        <w:rPr>
          <w:rFonts w:hint="eastAsia" w:ascii="仿宋_GB2312" w:eastAsia="仿宋_GB2312"/>
          <w:sz w:val="32"/>
          <w:szCs w:val="32"/>
        </w:rPr>
        <w:t>以及其他费用。</w:t>
      </w:r>
      <w:bookmarkStart w:id="86" w:name="_Toc15377226"/>
    </w:p>
    <w:p>
      <w:pPr>
        <w:jc w:val="center"/>
        <w:rPr>
          <w:rStyle w:val="14"/>
          <w:rFonts w:ascii="黑体" w:hAnsi="黑体" w:eastAsia="黑体"/>
          <w:b w:val="0"/>
        </w:rPr>
      </w:pPr>
      <w:r>
        <w:rPr>
          <w:rFonts w:ascii="宋体"/>
          <w:b/>
          <w:color w:val="000000"/>
          <w:sz w:val="44"/>
          <w:szCs w:val="44"/>
        </w:rPr>
        <w:br w:type="page"/>
      </w:r>
      <w:bookmarkStart w:id="87" w:name="_Toc15396614"/>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87"/>
    </w:p>
    <w:p>
      <w:pPr>
        <w:spacing w:line="600" w:lineRule="exact"/>
        <w:jc w:val="left"/>
        <w:outlineLvl w:val="0"/>
        <w:rPr>
          <w:rFonts w:ascii="方正小标宋简体" w:hAnsi="方正小标宋简体" w:eastAsia="方正小标宋简体" w:cs="方正小标宋简体"/>
          <w:sz w:val="32"/>
          <w:szCs w:val="32"/>
        </w:rPr>
      </w:pPr>
      <w:bookmarkStart w:id="88" w:name="_Toc18664"/>
      <w:r>
        <w:rPr>
          <w:rFonts w:hint="eastAsia" w:ascii="黑体" w:hAnsi="黑体" w:eastAsia="黑体" w:cs="黑体"/>
          <w:sz w:val="32"/>
          <w:szCs w:val="32"/>
        </w:rPr>
        <w:t>附件</w:t>
      </w:r>
      <w:r>
        <w:rPr>
          <w:rFonts w:ascii="黑体" w:hAnsi="黑体" w:eastAsia="黑体" w:cs="黑体"/>
          <w:sz w:val="32"/>
          <w:szCs w:val="32"/>
        </w:rPr>
        <w:t>1</w:t>
      </w:r>
      <w:bookmarkEnd w:id="8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巴中市城市管理行政执法局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一</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机构组成。根据中共四川省委机构编制委员会《关于调整巴中市政府工作部门及挂牌机构的批复》</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川编发〔2012〕1号</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，设立巴中市城市管理行政执法局</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简称市城管执法局</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，为市政府工作部门。局内设办公室、城市管理、执法监督、计划财务4个科室，下设直属分局、巴州区分局、经开区分局、城市管理公众服务中心4个下属单位，市公安局城管执法协作支队1个派驻机构。</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二</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机构职能。巴中市城市管理行政执法局成立于2011年8月，负责依法行使城市规划区内的城市规划和建设、房地产、装饰装修、市政工程、公共设施、户外广告、违规占道等城市综合行政管理和城乡规划、建设、房地产业、公共场所经营、户外广告等行政处罚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 xml:space="preserve"> </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三</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人员概况。巴中市城市管理行政执法局局机关核定行政编制11个，机关工勤编制2个，下属单位编制数153个（其中参公编制131个，机关工勤14个，事业编制8个）。截至2020年12月，在编在岗人员143名。</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cs="宋体"/>
          <w:color w:val="000000"/>
          <w:kern w:val="0"/>
          <w:sz w:val="32"/>
          <w:szCs w:val="32"/>
          <w:shd w:val="clear" w:color="auto" w:fill="FFFFFF"/>
          <w:lang w:val="zh-CN"/>
        </w:rPr>
        <w:t>（</w:t>
      </w:r>
      <w:r>
        <w:rPr>
          <w:rFonts w:hint="eastAsia" w:ascii="Times New Roman" w:hAnsi="Times New Roman" w:eastAsia="方正仿宋简体" w:cs="Times New Roman"/>
          <w:color w:val="000000"/>
          <w:kern w:val="0"/>
          <w:sz w:val="32"/>
          <w:szCs w:val="32"/>
          <w:lang w:val="zh-CN" w:eastAsia="zh-CN" w:bidi="ar-SA"/>
        </w:rPr>
        <w:t>一</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部门财政资金收入情况。2020年我单位共安排预算</w:t>
      </w:r>
      <w:r>
        <w:rPr>
          <w:rFonts w:hint="eastAsia" w:ascii="Times New Roman" w:hAnsi="Times New Roman" w:eastAsia="方正仿宋简体" w:cs="Times New Roman"/>
          <w:color w:val="000000"/>
          <w:kern w:val="0"/>
          <w:sz w:val="32"/>
          <w:szCs w:val="32"/>
          <w:lang w:val="en-US" w:eastAsia="zh-CN" w:bidi="ar-SA"/>
        </w:rPr>
        <w:t>9206</w:t>
      </w:r>
      <w:r>
        <w:rPr>
          <w:rFonts w:hint="eastAsia" w:ascii="Times New Roman" w:hAnsi="Times New Roman" w:eastAsia="方正仿宋简体" w:cs="Times New Roman"/>
          <w:color w:val="000000"/>
          <w:kern w:val="0"/>
          <w:sz w:val="32"/>
          <w:szCs w:val="32"/>
          <w:lang w:val="zh-CN" w:eastAsia="zh-CN" w:bidi="ar-SA"/>
        </w:rPr>
        <w:t>万元，其中：上年结转资金</w:t>
      </w:r>
      <w:r>
        <w:rPr>
          <w:rFonts w:hint="eastAsia" w:ascii="Times New Roman" w:hAnsi="Times New Roman" w:eastAsia="方正仿宋简体" w:cs="Times New Roman"/>
          <w:color w:val="000000"/>
          <w:kern w:val="0"/>
          <w:sz w:val="32"/>
          <w:szCs w:val="32"/>
          <w:lang w:val="en-US" w:eastAsia="zh-CN" w:bidi="ar-SA"/>
        </w:rPr>
        <w:t>2440.45</w:t>
      </w:r>
      <w:r>
        <w:rPr>
          <w:rFonts w:hint="eastAsia" w:ascii="Times New Roman" w:hAnsi="Times New Roman" w:eastAsia="方正仿宋简体" w:cs="Times New Roman"/>
          <w:color w:val="000000"/>
          <w:kern w:val="0"/>
          <w:sz w:val="32"/>
          <w:szCs w:val="32"/>
          <w:lang w:val="zh-CN" w:eastAsia="zh-CN" w:bidi="ar-SA"/>
        </w:rPr>
        <w:t>万元，本年公共财政预算拨款收入</w:t>
      </w:r>
      <w:r>
        <w:rPr>
          <w:rFonts w:hint="eastAsia" w:ascii="Times New Roman" w:hAnsi="Times New Roman" w:eastAsia="方正仿宋简体" w:cs="Times New Roman"/>
          <w:color w:val="000000"/>
          <w:kern w:val="0"/>
          <w:sz w:val="32"/>
          <w:szCs w:val="32"/>
          <w:lang w:val="en-US" w:eastAsia="zh-CN" w:bidi="ar-SA"/>
        </w:rPr>
        <w:t>2945.55</w:t>
      </w:r>
      <w:r>
        <w:rPr>
          <w:rFonts w:hint="eastAsia" w:ascii="Times New Roman" w:hAnsi="Times New Roman" w:eastAsia="方正仿宋简体" w:cs="Times New Roman"/>
          <w:color w:val="000000"/>
          <w:kern w:val="0"/>
          <w:sz w:val="32"/>
          <w:szCs w:val="32"/>
          <w:lang w:val="zh-CN" w:eastAsia="zh-CN" w:bidi="ar-SA"/>
        </w:rPr>
        <w:t>万元，基金预算拨款收入</w:t>
      </w:r>
      <w:r>
        <w:rPr>
          <w:rFonts w:hint="eastAsia" w:ascii="Times New Roman" w:hAnsi="Times New Roman" w:eastAsia="方正仿宋简体" w:cs="Times New Roman"/>
          <w:color w:val="000000"/>
          <w:kern w:val="0"/>
          <w:sz w:val="32"/>
          <w:szCs w:val="32"/>
          <w:lang w:val="en-US" w:eastAsia="zh-CN" w:bidi="ar-SA"/>
        </w:rPr>
        <w:t>3820</w:t>
      </w:r>
      <w:r>
        <w:rPr>
          <w:rFonts w:hint="eastAsia" w:ascii="Times New Roman" w:hAnsi="Times New Roman" w:eastAsia="方正仿宋简体" w:cs="Times New Roman"/>
          <w:color w:val="000000"/>
          <w:kern w:val="0"/>
          <w:sz w:val="32"/>
          <w:szCs w:val="32"/>
          <w:lang w:val="zh-CN" w:eastAsia="zh-CN" w:bidi="ar-SA"/>
        </w:rPr>
        <w:t>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二</w:t>
      </w:r>
      <w:r>
        <w:rPr>
          <w:rFonts w:hint="eastAsia" w:eastAsia="方正仿宋简体" w:cs="Times New Roman"/>
          <w:color w:val="000000"/>
          <w:kern w:val="0"/>
          <w:sz w:val="32"/>
          <w:szCs w:val="32"/>
          <w:lang w:val="zh-CN" w:eastAsia="zh-CN" w:bidi="ar-SA"/>
        </w:rPr>
        <w:t>）</w:t>
      </w:r>
      <w:r>
        <w:rPr>
          <w:rFonts w:hint="eastAsia" w:ascii="Times New Roman" w:hAnsi="Times New Roman" w:eastAsia="方正仿宋简体" w:cs="Times New Roman"/>
          <w:color w:val="000000"/>
          <w:kern w:val="0"/>
          <w:sz w:val="32"/>
          <w:szCs w:val="32"/>
          <w:lang w:val="zh-CN" w:eastAsia="zh-CN" w:bidi="ar-SA"/>
        </w:rPr>
        <w:t>部门财政资金支出情况。2020年我单位共计支出</w:t>
      </w:r>
      <w:r>
        <w:rPr>
          <w:rFonts w:hint="eastAsia" w:ascii="Times New Roman" w:hAnsi="Times New Roman" w:eastAsia="方正仿宋简体" w:cs="Times New Roman"/>
          <w:color w:val="000000"/>
          <w:kern w:val="0"/>
          <w:sz w:val="32"/>
          <w:szCs w:val="32"/>
          <w:lang w:val="en-US" w:eastAsia="zh-CN" w:bidi="ar-SA"/>
        </w:rPr>
        <w:t>7399.39</w:t>
      </w:r>
      <w:r>
        <w:rPr>
          <w:rFonts w:hint="eastAsia" w:ascii="Times New Roman" w:hAnsi="Times New Roman" w:eastAsia="方正仿宋简体" w:cs="Times New Roman"/>
          <w:color w:val="000000"/>
          <w:kern w:val="0"/>
          <w:sz w:val="32"/>
          <w:szCs w:val="32"/>
          <w:lang w:val="zh-CN" w:eastAsia="zh-CN" w:bidi="ar-SA"/>
        </w:rPr>
        <w:t>万元，其中：工资福利支出</w:t>
      </w:r>
      <w:r>
        <w:rPr>
          <w:rFonts w:hint="eastAsia" w:ascii="Times New Roman" w:hAnsi="Times New Roman" w:eastAsia="方正仿宋简体" w:cs="Times New Roman"/>
          <w:color w:val="000000"/>
          <w:kern w:val="0"/>
          <w:sz w:val="32"/>
          <w:szCs w:val="32"/>
          <w:lang w:val="en-US" w:eastAsia="zh-CN" w:bidi="ar-SA"/>
        </w:rPr>
        <w:t>1874.85</w:t>
      </w:r>
      <w:r>
        <w:rPr>
          <w:rFonts w:hint="eastAsia" w:ascii="Times New Roman" w:hAnsi="Times New Roman" w:eastAsia="方正仿宋简体" w:cs="Times New Roman"/>
          <w:color w:val="000000"/>
          <w:kern w:val="0"/>
          <w:sz w:val="32"/>
          <w:szCs w:val="32"/>
          <w:lang w:val="zh-CN" w:eastAsia="zh-CN" w:bidi="ar-SA"/>
        </w:rPr>
        <w:t>万元，商品和服务支出</w:t>
      </w:r>
      <w:r>
        <w:rPr>
          <w:rFonts w:hint="eastAsia" w:ascii="Times New Roman" w:hAnsi="Times New Roman" w:eastAsia="方正仿宋简体" w:cs="Times New Roman"/>
          <w:color w:val="000000"/>
          <w:kern w:val="0"/>
          <w:sz w:val="32"/>
          <w:szCs w:val="32"/>
          <w:lang w:val="en-US" w:eastAsia="zh-CN" w:bidi="ar-SA"/>
        </w:rPr>
        <w:t>5025.8</w:t>
      </w:r>
      <w:r>
        <w:rPr>
          <w:rFonts w:hint="eastAsia" w:ascii="Times New Roman" w:hAnsi="Times New Roman" w:eastAsia="方正仿宋简体" w:cs="Times New Roman"/>
          <w:color w:val="000000"/>
          <w:kern w:val="0"/>
          <w:sz w:val="32"/>
          <w:szCs w:val="32"/>
          <w:lang w:val="zh-CN" w:eastAsia="zh-CN" w:bidi="ar-SA"/>
        </w:rPr>
        <w:t>万元，对个人和家庭补助支出</w:t>
      </w:r>
      <w:r>
        <w:rPr>
          <w:rFonts w:hint="eastAsia" w:ascii="Times New Roman" w:hAnsi="Times New Roman" w:eastAsia="方正仿宋简体" w:cs="Times New Roman"/>
          <w:color w:val="000000"/>
          <w:kern w:val="0"/>
          <w:sz w:val="32"/>
          <w:szCs w:val="32"/>
          <w:lang w:val="en-US" w:eastAsia="zh-CN" w:bidi="ar-SA"/>
        </w:rPr>
        <w:t>33.75</w:t>
      </w:r>
      <w:r>
        <w:rPr>
          <w:rFonts w:hint="eastAsia" w:ascii="Times New Roman" w:hAnsi="Times New Roman" w:eastAsia="方正仿宋简体" w:cs="Times New Roman"/>
          <w:color w:val="000000"/>
          <w:kern w:val="0"/>
          <w:sz w:val="32"/>
          <w:szCs w:val="32"/>
          <w:lang w:val="zh-CN" w:eastAsia="zh-CN" w:bidi="ar-SA"/>
        </w:rPr>
        <w:t>万元，资本性支出</w:t>
      </w:r>
      <w:r>
        <w:rPr>
          <w:rFonts w:hint="eastAsia" w:ascii="Times New Roman" w:hAnsi="Times New Roman" w:eastAsia="方正仿宋简体" w:cs="Times New Roman"/>
          <w:color w:val="000000"/>
          <w:kern w:val="0"/>
          <w:sz w:val="32"/>
          <w:szCs w:val="32"/>
          <w:lang w:val="en-US" w:eastAsia="zh-CN" w:bidi="ar-SA"/>
        </w:rPr>
        <w:t>300.08</w:t>
      </w:r>
      <w:r>
        <w:rPr>
          <w:rFonts w:hint="eastAsia" w:ascii="Times New Roman" w:hAnsi="Times New Roman" w:eastAsia="方正仿宋简体" w:cs="Times New Roman"/>
          <w:color w:val="000000"/>
          <w:kern w:val="0"/>
          <w:sz w:val="32"/>
          <w:szCs w:val="32"/>
          <w:lang w:val="zh-CN" w:eastAsia="zh-CN" w:bidi="ar-SA"/>
        </w:rPr>
        <w:t>万元，对企业的补助164.9万元。决算总收入</w:t>
      </w:r>
      <w:r>
        <w:rPr>
          <w:rFonts w:hint="eastAsia" w:ascii="Times New Roman" w:hAnsi="Times New Roman" w:eastAsia="方正仿宋简体" w:cs="Times New Roman"/>
          <w:color w:val="000000"/>
          <w:kern w:val="0"/>
          <w:sz w:val="32"/>
          <w:szCs w:val="32"/>
          <w:lang w:val="en-US" w:eastAsia="zh-CN" w:bidi="ar-SA"/>
        </w:rPr>
        <w:t>6765.55</w:t>
      </w:r>
      <w:r>
        <w:rPr>
          <w:rFonts w:hint="eastAsia" w:ascii="Times New Roman" w:hAnsi="Times New Roman" w:eastAsia="方正仿宋简体" w:cs="Times New Roman"/>
          <w:color w:val="000000"/>
          <w:kern w:val="0"/>
          <w:sz w:val="32"/>
          <w:szCs w:val="32"/>
          <w:lang w:val="zh-CN" w:eastAsia="zh-CN" w:bidi="ar-SA"/>
        </w:rPr>
        <w:t>万元，决算总支出</w:t>
      </w:r>
      <w:r>
        <w:rPr>
          <w:rFonts w:hint="eastAsia" w:ascii="Times New Roman" w:hAnsi="Times New Roman" w:eastAsia="方正仿宋简体" w:cs="Times New Roman"/>
          <w:color w:val="000000"/>
          <w:kern w:val="0"/>
          <w:sz w:val="32"/>
          <w:szCs w:val="32"/>
          <w:lang w:val="en-US" w:eastAsia="zh-CN" w:bidi="ar-SA"/>
        </w:rPr>
        <w:t>7399.38</w:t>
      </w:r>
      <w:r>
        <w:rPr>
          <w:rFonts w:hint="eastAsia" w:ascii="Times New Roman" w:hAnsi="Times New Roman" w:eastAsia="方正仿宋简体" w:cs="Times New Roman"/>
          <w:color w:val="000000"/>
          <w:kern w:val="0"/>
          <w:sz w:val="32"/>
          <w:szCs w:val="32"/>
          <w:lang w:val="zh-CN" w:eastAsia="zh-CN" w:bidi="ar-SA"/>
        </w:rPr>
        <w:t>万元，结转下年度资金</w:t>
      </w:r>
      <w:r>
        <w:rPr>
          <w:rFonts w:hint="eastAsia" w:ascii="Times New Roman" w:hAnsi="Times New Roman" w:eastAsia="方正仿宋简体" w:cs="Times New Roman"/>
          <w:color w:val="000000"/>
          <w:kern w:val="0"/>
          <w:sz w:val="32"/>
          <w:szCs w:val="32"/>
          <w:lang w:val="en-US" w:eastAsia="zh-CN" w:bidi="ar-SA"/>
        </w:rPr>
        <w:t>1806.62</w:t>
      </w:r>
      <w:r>
        <w:rPr>
          <w:rFonts w:hint="eastAsia" w:ascii="Times New Roman" w:hAnsi="Times New Roman" w:eastAsia="方正仿宋简体" w:cs="Times New Roman"/>
          <w:color w:val="000000"/>
          <w:kern w:val="0"/>
          <w:sz w:val="32"/>
          <w:szCs w:val="32"/>
          <w:lang w:val="zh-CN" w:eastAsia="zh-CN" w:bidi="ar-SA"/>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根据预算编制要求，我局机关2020年将全部收支纳入预算编制，执法局机关共编制项目支出预算16个（常规类项目支出10个，发展类6个）。编制的项目支出绩效目标合理、完整。下属单位均按照要求编制项目支出绩效目标。在项目实施及经费支出中，严格按照中央、省、市及单位内部相关规定执行，加强内部控制及管理，确保财政资金高效利用。在绩效评价上，始终秉承客观、公正的原则，对发现的问题及时反馈并整改落实。</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eastAsia="zh-CN"/>
        </w:rPr>
        <w:t>二）</w:t>
      </w:r>
      <w:r>
        <w:rPr>
          <w:rFonts w:hint="eastAsia" w:ascii="仿宋_GB2312" w:hAnsi="宋体" w:eastAsia="仿宋_GB2312" w:cs="宋体"/>
          <w:color w:val="000000"/>
          <w:kern w:val="0"/>
          <w:sz w:val="32"/>
          <w:szCs w:val="32"/>
          <w:shd w:val="clear" w:color="auto" w:fill="FFFFFF"/>
          <w:lang w:val="zh-CN"/>
        </w:rPr>
        <w:t>综合管理情况。</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一是我局严格按照政府采购要求，对应纳入集中采购的项目，严格按照规定组织实施采购。2020年我局（含下属单位）采购合计金额</w:t>
      </w:r>
      <w:r>
        <w:rPr>
          <w:rFonts w:hint="eastAsia" w:ascii="Times New Roman" w:hAnsi="Times New Roman" w:eastAsia="方正仿宋简体" w:cs="Times New Roman"/>
          <w:color w:val="000000"/>
          <w:kern w:val="0"/>
          <w:sz w:val="32"/>
          <w:szCs w:val="32"/>
          <w:lang w:val="en-US" w:eastAsia="zh-CN" w:bidi="ar-SA"/>
        </w:rPr>
        <w:t>272.12</w:t>
      </w:r>
      <w:r>
        <w:rPr>
          <w:rFonts w:hint="eastAsia" w:ascii="Times New Roman" w:hAnsi="Times New Roman" w:eastAsia="方正仿宋简体" w:cs="Times New Roman"/>
          <w:color w:val="000000"/>
          <w:kern w:val="0"/>
          <w:sz w:val="32"/>
          <w:szCs w:val="32"/>
          <w:lang w:val="zh-CN" w:eastAsia="zh-CN" w:bidi="ar-SA"/>
        </w:rPr>
        <w:t>万元，其中集中采购设备涉及金额</w:t>
      </w:r>
      <w:r>
        <w:rPr>
          <w:rFonts w:hint="eastAsia" w:ascii="Times New Roman" w:hAnsi="Times New Roman" w:eastAsia="方正仿宋简体" w:cs="Times New Roman"/>
          <w:color w:val="000000"/>
          <w:kern w:val="0"/>
          <w:sz w:val="32"/>
          <w:szCs w:val="32"/>
          <w:lang w:val="en-US" w:eastAsia="zh-CN" w:bidi="ar-SA"/>
        </w:rPr>
        <w:t>18.62</w:t>
      </w:r>
      <w:r>
        <w:rPr>
          <w:rFonts w:hint="eastAsia" w:ascii="Times New Roman" w:hAnsi="Times New Roman" w:eastAsia="方正仿宋简体" w:cs="Times New Roman"/>
          <w:color w:val="000000"/>
          <w:kern w:val="0"/>
          <w:sz w:val="32"/>
          <w:szCs w:val="32"/>
          <w:lang w:val="zh-CN" w:eastAsia="zh-CN" w:bidi="ar-SA"/>
        </w:rPr>
        <w:t>万元，公众服务中心采购数字化平台升级维护1次数，涉及金额253.5万元。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二是严格三公经费使用管理，2020年度我局三公经费年初预算71.6万元，2020年实际支出65.39万元。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三是严格资产管理，定期核对，保证账实相符，2020年11月聘请三方机构对我局资产全面清理</w:t>
      </w:r>
      <w:r>
        <w:rPr>
          <w:rFonts w:hint="eastAsia" w:ascii="Times New Roman" w:hAnsi="Times New Roman" w:eastAsia="方正仿宋简体" w:cs="Times New Roman"/>
          <w:color w:val="000000"/>
          <w:kern w:val="0"/>
          <w:sz w:val="32"/>
          <w:szCs w:val="32"/>
          <w:lang w:val="en-US" w:eastAsia="zh-CN" w:bidi="ar-SA"/>
        </w:rPr>
        <w:t>。</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四是严格财务核算，每年年度结束后，对上年度财务执行及核算情况进行审计。</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五是按照财政部门的要求在财政集中公开专栏及单位门户网站公开年度预算决算及三公经费使用情况。</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综合绩效情况。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（1）重点项目绩效评价结果</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1.城市管理购买服务项目</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项目资金申报及批复情况。我单位已于2020年年初对该项目进行预算申报，财政年初批复600万元，根据招标及合同情况年终申请调整增加210万元，共计810万元。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完成对信合大厦至江北大道盛华堂片区和龙泉街至火车站、半山逸城、凯悦名城等区域的城市管理购买服务相关工作；对江北大道（盛华堂至党校）至大佛寺桥头、二环路（德阳银行至党校）及支街小巷及宕梁片区（信合大厦—后河桥—插旗山等）区域城市管理购买服务相关工作。</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通过购买服务对非机动车辆停放不规范、占道经营、乱贴小广告等行为进行劝导，对违法建设进行有效控制；对城市管理各种违法、违规行为进行有效整治，为经济发展创造了有利的投资环境。加强了对城市管理乱象的治理力度，创造干净、有序的城市环境，为创文保卫工作注入了力量。</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2. 拆除违法建设、违规设置构筑物拆（清）除经费</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根据《城乡规划法》、《建筑法》等法律法规，国家部委、省人民政府出台对城乡规划、建设的相关条例及我局承担的职能职责，对城市规划区范围违法建设、违法构建蓝顶子、破损灯箱广告、违规设置广告、摊棚、违规占道物等进行强制拆除。经初步统计，2020年计划拆除存量违法建设6万平方米左右。年初对该项目进行预算申报，财政年初批复200万元，年终在执法经费中增加150万元，实际支出471万元，缺口121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对城市规划区范围违法建设、违法构建蓝顶子、破损灯箱广告、违规设置广告、摊棚、违规占道物等进行强制拆除，全年拆除妨碍公共空间展开的围墙7400米，增加绿化面积1.4万平方米，拆除违法建设12.3万平方米。</w:t>
      </w:r>
    </w:p>
    <w:p>
      <w:pPr>
        <w:widowControl/>
        <w:adjustRightInd w:val="0"/>
        <w:snapToGrid w:val="0"/>
        <w:spacing w:line="580" w:lineRule="exact"/>
        <w:ind w:firstLine="640" w:firstLineChars="200"/>
        <w:contextualSpacing/>
        <w:jc w:val="left"/>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经济效益：减少因修建违法建设而涉及的拆迁费用；创建良好的城市和自然环境吸引外商投资。社会效益：减少违法建设的修建，新生违法建设实现逐年减少；打击违法建设、维护建设、房地产市场秩序。社会效益：改善城市生态和生活环境。</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3.公益广告宣传经费</w:t>
      </w:r>
    </w:p>
    <w:p>
      <w:pPr>
        <w:spacing w:line="600" w:lineRule="exact"/>
        <w:ind w:firstLine="640"/>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项目资金申报及批复情况。年初对该项目预算进行申报，财政年初批复</w:t>
      </w:r>
      <w:r>
        <w:rPr>
          <w:rFonts w:hint="eastAsia" w:ascii="Times New Roman" w:hAnsi="Times New Roman" w:eastAsia="方正仿宋简体" w:cs="Times New Roman"/>
          <w:color w:val="000000"/>
          <w:kern w:val="0"/>
          <w:sz w:val="32"/>
          <w:szCs w:val="32"/>
          <w:lang w:val="en-US" w:eastAsia="zh-CN" w:bidi="ar-SA"/>
        </w:rPr>
        <w:t>27万元。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项目绩效目标。完成我单位及相关部门下达的公益广告宣传任务，发挥公交站台、LED大屏、单立柱等户外广告媒介宣传作用，提升巴城形象和品质。</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项目效益情况。经济效益：大幅提升资源集约高效利用率社会效益：增加市民知晓率，使市民对城市管理、创文工作知晓率不断提升，市民素质不断提升，收到良好宣传效果。</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4.信息公示栏制作经费项目</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 202</w:t>
      </w:r>
      <w:r>
        <w:rPr>
          <w:rFonts w:hint="eastAsia" w:ascii="Times New Roman" w:hAnsi="Times New Roman" w:eastAsia="方正仿宋简体" w:cs="Times New Roman"/>
          <w:color w:val="000000"/>
          <w:kern w:val="0"/>
          <w:sz w:val="32"/>
          <w:szCs w:val="32"/>
          <w:lang w:val="en-US" w:eastAsia="zh-CN" w:bidi="ar-SA"/>
        </w:rPr>
        <w:t>0</w:t>
      </w:r>
      <w:r>
        <w:rPr>
          <w:rFonts w:hint="eastAsia" w:ascii="Times New Roman" w:hAnsi="Times New Roman" w:eastAsia="方正仿宋简体" w:cs="Times New Roman"/>
          <w:color w:val="000000"/>
          <w:kern w:val="0"/>
          <w:sz w:val="32"/>
          <w:szCs w:val="32"/>
          <w:lang w:val="zh-CN" w:eastAsia="zh-CN" w:bidi="ar-SA"/>
        </w:rPr>
        <w:t>年初对信息公示栏制作经费项目进行预算申报，申报金额18万元。财政年初批复18万元。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项目绩效目标。为规范城区广告张贴行为，治理广告乱象，对已有信息公示栏维护，单位对外宣传制作，展示单位形象。</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项目效益情况。经济效益：节约资源，集约广告发布资源。社会效益：逐渐减少城市广告乱象。生态效益：加强市容环境治理，提升环境治理成效</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5.“三违”治理工作（督查）经费项目</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我单位“三违”治理工作（督查）经费延续以前年度预算安排，年初预算申报4.5万元，用于持续推进违法建设整治“两拆一增”工作，保持新生违法建设零增长，存量违法建设有序消化，积极服务区域经济发展大局、保障重点项目推进、维护社会公平正义。财政年初批复4.5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项目绩效目标。全市拆违12.3万平方米，强力查处招投标、大气污染相关案件27件，新生违建得到更好遏制。</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社会效益：维护法规权威、建设秩序，保障社会公平正义，提升城市形象。生态效益：实现绿色发展、建设美丽巴中。可持续影响：实现土地高效利用，城乡建设有序开发，提升社会综合发展效益。</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6.城管执法经费项目</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2020年初申报城管执法经费共计195万元，其中巴州区分局14万元、直属分局172万元、经开区分局9万元，主要用于对城区“五乱”现象常态化进行督查、管理；对县区进行督查和业务指导；开展好市、县、区“三违建设专项整治”工作；对</w:t>
      </w:r>
      <w:r>
        <w:rPr>
          <w:rFonts w:hint="eastAsia" w:ascii="Times New Roman" w:hAnsi="Times New Roman" w:eastAsia="方正仿宋简体" w:cs="Times New Roman"/>
          <w:color w:val="000000"/>
          <w:kern w:val="0"/>
          <w:sz w:val="32"/>
          <w:szCs w:val="32"/>
          <w:lang w:val="en-US" w:eastAsia="zh-CN" w:bidi="ar-SA"/>
        </w:rPr>
        <w:t>500多</w:t>
      </w:r>
      <w:r>
        <w:rPr>
          <w:rFonts w:hint="eastAsia" w:ascii="Times New Roman" w:hAnsi="Times New Roman" w:eastAsia="方正仿宋简体" w:cs="Times New Roman"/>
          <w:color w:val="000000"/>
          <w:kern w:val="0"/>
          <w:sz w:val="32"/>
          <w:szCs w:val="32"/>
          <w:lang w:val="zh-CN" w:eastAsia="zh-CN" w:bidi="ar-SA"/>
        </w:rPr>
        <w:t>名执法人员展开法律法规业务培训。财政年初批复195万元。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项目绩效目标。根据</w:t>
      </w:r>
      <w:r>
        <w:rPr>
          <w:rFonts w:hint="eastAsia" w:eastAsia="方正仿宋简体" w:cs="Times New Roman"/>
          <w:color w:val="000000"/>
          <w:kern w:val="0"/>
          <w:sz w:val="32"/>
          <w:szCs w:val="32"/>
          <w:lang w:val="zh-CN" w:eastAsia="zh-CN" w:bidi="ar-SA"/>
        </w:rPr>
        <w:t>市委、市政府</w:t>
      </w:r>
      <w:r>
        <w:rPr>
          <w:rFonts w:hint="eastAsia" w:ascii="Times New Roman" w:hAnsi="Times New Roman" w:eastAsia="方正仿宋简体" w:cs="Times New Roman"/>
          <w:color w:val="000000"/>
          <w:kern w:val="0"/>
          <w:sz w:val="32"/>
          <w:szCs w:val="32"/>
          <w:lang w:val="zh-CN" w:eastAsia="zh-CN" w:bidi="ar-SA"/>
        </w:rPr>
        <w:t>创文工作总体部署和直属各执法分局承担的职能职责，按照我局2020年工作计划，为巩固环保督察、脱贫攻坚等工作成果，我局加大力度对城区内防尘污染、环境污染、噪声污染和餐厨垃圾、生活垃圾分类、大气污染防治、“散乱污”企业、城市“五乱”行为等进行常态管理和综合整治。</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项目效益情况。经济效益：严格城市执法管理，有利于招商引资；严格三违建设专项治理，有利于降低拆迁成本。</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7.城管协管员项目经费</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为有效加强对城市乱象的管理，规范城市管理秩序，提升巴中文明形象，为广大市民营造良好的城市环境，聘用城管协管员主要协助对巴城、兴文城区及规划控制区的建设执法及城市市容秩序等管理工作，我单位对该项目进行预算申报共1500万元，按照财政拨付资金用于支付聘用协管、协警人员工资、社保、公用支出，财政年初批复该项目1500万元，年终调整追加</w:t>
      </w:r>
      <w:r>
        <w:rPr>
          <w:rFonts w:hint="eastAsia" w:eastAsia="方正仿宋简体" w:cs="Times New Roman"/>
          <w:color w:val="000000"/>
          <w:kern w:val="0"/>
          <w:sz w:val="32"/>
          <w:szCs w:val="32"/>
          <w:lang w:val="en-US" w:eastAsia="zh-CN" w:bidi="ar-SA"/>
        </w:rPr>
        <w:t>6</w:t>
      </w:r>
      <w:r>
        <w:rPr>
          <w:rFonts w:hint="eastAsia" w:ascii="Times New Roman" w:hAnsi="Times New Roman" w:eastAsia="方正仿宋简体" w:cs="Times New Roman"/>
          <w:color w:val="000000"/>
          <w:kern w:val="0"/>
          <w:sz w:val="32"/>
          <w:szCs w:val="32"/>
          <w:lang w:val="zh-CN" w:eastAsia="zh-CN" w:bidi="ar-SA"/>
        </w:rPr>
        <w:t>00万元。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项目绩效目标。通过建设管理、城市市容秩序管理等协助工作，补充了协助执法力量，有效加强对城市乱象的管理，规范城市管理秩序，提升巴中文明形象，为广大市民营造良好的城市环境。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经济效益：协助执法人员控制违法建设可以减少拆迁成本，协助规范建筑房地产秩序。社会效益：通过协管、协警人员的协助执法、有效控制新增违法建设和规范城市秩序，治理城市乱象。生态效益：乱修乱建的整治，有利于城市规划区生态环境的保护。可持续影响：维持城市秩序，市容市貌更加整洁美观，形成良好的城市管理生态，助力城市协调发展。</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8. 数字城管平台受理员经费</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项目资金申报及批复情况。年初申报93.7万元，主要</w:t>
      </w:r>
      <w:r>
        <w:rPr>
          <w:rFonts w:hint="eastAsia" w:eastAsia="方正仿宋简体" w:cs="Times New Roman"/>
          <w:color w:val="000000"/>
          <w:kern w:val="0"/>
          <w:sz w:val="32"/>
          <w:szCs w:val="32"/>
          <w:lang w:val="zh-CN" w:eastAsia="zh-CN" w:bidi="ar-SA"/>
        </w:rPr>
        <w:t>用于</w:t>
      </w:r>
      <w:r>
        <w:rPr>
          <w:rFonts w:hint="eastAsia" w:ascii="Times New Roman" w:hAnsi="Times New Roman" w:eastAsia="方正仿宋简体" w:cs="Times New Roman"/>
          <w:color w:val="000000"/>
          <w:kern w:val="0"/>
          <w:sz w:val="32"/>
          <w:szCs w:val="32"/>
          <w:lang w:val="zh-CN" w:eastAsia="zh-CN" w:bidi="ar-SA"/>
        </w:rPr>
        <w:t>公众服务中心聘用18名数字城管受理人员工资保险缴纳及公用支出，财政年初批复93.7万元。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2020年，12319热线累计受理市民举报、投诉和建议3086件，处置率100%。跟踪督促分局、大队及时处置12345政务服务热线派件1283件，处置率100%，积极协调12345中心，对164件市民不满意件提请再办理，指导责任大队排查分析、完善佐证资料，已通过甄别为满意案件155件，甄别通过率达94.51%。</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项目效益情况。提升城管热线服务质量，为创文保卫保驾护航，让市民更加满意。</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9. 数字城管信息采集购买服务经费</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项目资金申报及批复情况。年初申报270万元，主要</w:t>
      </w:r>
      <w:r>
        <w:rPr>
          <w:rFonts w:hint="eastAsia" w:eastAsia="方正仿宋简体" w:cs="Times New Roman"/>
          <w:color w:val="000000"/>
          <w:kern w:val="0"/>
          <w:sz w:val="32"/>
          <w:szCs w:val="32"/>
          <w:lang w:val="zh-CN" w:eastAsia="zh-CN" w:bidi="ar-SA"/>
        </w:rPr>
        <w:t>用于</w:t>
      </w:r>
      <w:r>
        <w:rPr>
          <w:rFonts w:hint="eastAsia" w:ascii="Times New Roman" w:hAnsi="Times New Roman" w:eastAsia="方正仿宋简体" w:cs="Times New Roman"/>
          <w:color w:val="000000"/>
          <w:kern w:val="0"/>
          <w:sz w:val="32"/>
          <w:szCs w:val="32"/>
          <w:lang w:val="zh-CN" w:eastAsia="zh-CN" w:bidi="ar-SA"/>
        </w:rPr>
        <w:t>公众服务中心购买服务信息采集及平台费用，财政年初批复数200万元，年终调整增加70万元。</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项目绩效目标。“数字城管”平台采集受理城市事（部）件问题22488件，各级各部门处置城市管理问题20920件，问题处置率93.03%，按期处置率提升3.15个百分点，信息采集员自行处置问题9754件。</w:t>
      </w:r>
    </w:p>
    <w:p>
      <w:pPr>
        <w:widowControl/>
        <w:adjustRightInd w:val="0"/>
        <w:snapToGrid w:val="0"/>
        <w:spacing w:line="580" w:lineRule="exact"/>
        <w:ind w:firstLine="643" w:firstLineChars="200"/>
        <w:contextualSpacing/>
        <w:jc w:val="left"/>
        <w:rPr>
          <w:rFonts w:ascii="楷体" w:hAnsi="楷体" w:eastAsia="楷体" w:cs="Times New Roman"/>
          <w:b/>
          <w:sz w:val="32"/>
          <w:szCs w:val="32"/>
        </w:rPr>
      </w:pPr>
      <w:r>
        <w:rPr>
          <w:rFonts w:hint="eastAsia" w:ascii="楷体" w:hAnsi="楷体" w:eastAsia="楷体" w:cs="Times New Roman"/>
          <w:b/>
          <w:sz w:val="32"/>
          <w:szCs w:val="32"/>
        </w:rPr>
        <w:t>（2）部门职能完成情况。</w:t>
      </w:r>
    </w:p>
    <w:p>
      <w:pPr>
        <w:spacing w:line="600" w:lineRule="exact"/>
        <w:ind w:firstLine="64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2020年，巴中市城管执法局深入贯彻落实十九届四中、五中全会精神，着力在城市管理科学化、精细化、智能化上下功夫，强力推进社会治理体系和治理能力现代化。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b/>
          <w:sz w:val="32"/>
          <w:szCs w:val="32"/>
        </w:rPr>
        <w:t>1.</w:t>
      </w:r>
      <w:r>
        <w:rPr>
          <w:rFonts w:ascii="Times New Roman" w:hAnsi="Times New Roman" w:eastAsia="方正仿宋简体" w:cs="Times New Roman"/>
          <w:b/>
          <w:sz w:val="32"/>
          <w:szCs w:val="32"/>
        </w:rPr>
        <w:t>创新城市管理机制。</w:t>
      </w:r>
      <w:r>
        <w:rPr>
          <w:rFonts w:hint="eastAsia" w:ascii="Times New Roman" w:hAnsi="Times New Roman" w:eastAsia="方正仿宋简体" w:cs="Times New Roman"/>
          <w:color w:val="000000"/>
          <w:kern w:val="0"/>
          <w:sz w:val="32"/>
          <w:szCs w:val="32"/>
          <w:lang w:val="zh-CN" w:eastAsia="zh-CN" w:bidi="ar-SA"/>
        </w:rPr>
        <w:t>一是成立了以市长何平为第一召集人，分管建设、执法的副市长为第二召集人的市城市管理联席会议制度，加强城市问题的综合研判、高位协调、统筹督办。二是进一步下沉城管执法力量，在巴州区江北、回风、宕梁和经开区时新四个街道办事处推广街巷长体系，大街有街长，小巷有巷长，覆盖街巷115条，建立“街乡吹哨、部门报到”机制，为基层提供精准化、精细化的服务，打通城市治理“最后一公里”。三是大力探索城管“党建+”，直属分局党总支、经开区分局党总支积极探索城管党建+，先后推出“城管社区工作室”、“城管基层治理工作室”、“城管社区共管站”，动员街道、社区、企业中的党组织和党员带头参与城市治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b/>
          <w:sz w:val="32"/>
          <w:szCs w:val="32"/>
        </w:rPr>
        <w:t>2.</w:t>
      </w:r>
      <w:r>
        <w:rPr>
          <w:rFonts w:ascii="Times New Roman" w:hAnsi="Times New Roman" w:eastAsia="方正仿宋简体" w:cs="Times New Roman"/>
          <w:b/>
          <w:sz w:val="32"/>
          <w:szCs w:val="32"/>
        </w:rPr>
        <w:t>改进城市管理方式。</w:t>
      </w:r>
      <w:r>
        <w:rPr>
          <w:rFonts w:hint="eastAsia" w:ascii="Times New Roman" w:hAnsi="Times New Roman" w:eastAsia="方正仿宋简体" w:cs="Times New Roman"/>
          <w:color w:val="000000"/>
          <w:kern w:val="0"/>
          <w:sz w:val="32"/>
          <w:szCs w:val="32"/>
          <w:lang w:val="zh-CN" w:eastAsia="zh-CN" w:bidi="ar-SA"/>
        </w:rPr>
        <w:t>一是强化用情报和数据来主导管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理工作，完成市级数字城管向智慧城管转型升级，督促县区依托市级数字城管软件建成本级数字城管平台，实现省、市、县数字城管数据互联互通。二是推行“潮汐式”摊区、夜市“十统一”管理，设置小百货一条街、美食一条街，解决零就业家庭、下岗工人就业1900人。三是积极优化营商环境，提高店招店牌设置管理、占道审批效率，探索制定老旧小区治漏可行性办法，深化为民服务解难题。</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b/>
          <w:sz w:val="32"/>
          <w:szCs w:val="32"/>
        </w:rPr>
        <w:t>3.</w:t>
      </w:r>
      <w:r>
        <w:rPr>
          <w:rFonts w:ascii="Times New Roman" w:hAnsi="Times New Roman" w:eastAsia="方正仿宋简体" w:cs="Times New Roman"/>
          <w:b/>
          <w:sz w:val="32"/>
          <w:szCs w:val="32"/>
        </w:rPr>
        <w:t>提升城市执法效能。</w:t>
      </w:r>
      <w:r>
        <w:rPr>
          <w:rFonts w:hint="eastAsia" w:ascii="Times New Roman" w:hAnsi="Times New Roman" w:eastAsia="方正仿宋简体" w:cs="Times New Roman"/>
          <w:color w:val="000000"/>
          <w:kern w:val="0"/>
          <w:sz w:val="32"/>
          <w:szCs w:val="32"/>
          <w:lang w:val="zh-CN" w:eastAsia="zh-CN" w:bidi="ar-SA"/>
        </w:rPr>
        <w:t>一是大力落实行政执法“三项制度”，配备5G执法记录仪52台，举行案审会5次，提升执法规范化水平。二是严格执法，深化“两拆一增”和“三违”整治，拆除妨碍公共空间展开的围墙7400米，增加绿化面积1.4万平方米，拆除违法建设12.3万平方米，强力查处招投标、大气污染相关案件27件，提高行政处罚权履行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b/>
          <w:sz w:val="32"/>
          <w:szCs w:val="32"/>
        </w:rPr>
        <w:t>4.</w:t>
      </w:r>
      <w:r>
        <w:rPr>
          <w:rFonts w:ascii="Times New Roman" w:hAnsi="Times New Roman" w:eastAsia="方正仿宋简体" w:cs="Times New Roman"/>
          <w:b/>
          <w:sz w:val="32"/>
          <w:szCs w:val="32"/>
        </w:rPr>
        <w:t>加强城管队伍建设。</w:t>
      </w:r>
      <w:r>
        <w:rPr>
          <w:rFonts w:hint="eastAsia" w:ascii="Times New Roman" w:hAnsi="Times New Roman" w:eastAsia="方正仿宋简体" w:cs="Times New Roman"/>
          <w:color w:val="000000"/>
          <w:kern w:val="0"/>
          <w:sz w:val="32"/>
          <w:szCs w:val="32"/>
          <w:lang w:val="zh-CN" w:eastAsia="zh-CN" w:bidi="ar-SA"/>
        </w:rPr>
        <w:t>一是探索城管党建+，设立城管社区工作室、城管小区基层治理室、城管女子解语室、城管共管站和居民议事厅，每周三固定为“城管开放日”，构建“城管主导、群众主体、物业参与、部门联动、多元化解”机制，最大程度通过依靠群众实现为了群众，累计解决群众诉求67件，办结率95.5%，受到省直机关工委的高度评价。二是采取分层分专题学习，组织办公室人员能力提升班、执法办案人员能力培训班、党务工作人员培训班、协助执法人员能力提升班等4个专题培训班，累计集中学习45场次，培训人员800人次。三是强化作风纪律建设，局党组专题研究党风廉政建设和反腐败工作两次，落实纪检委员轮流值周巡察制度，20名纪检委轮流值周巡察，印发《专项通报》41期，督促整改问题185个。</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一</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评价结论。</w:t>
      </w:r>
      <w:r>
        <w:rPr>
          <w:rFonts w:hint="eastAsia" w:ascii="Times New Roman" w:hAnsi="Times New Roman" w:eastAsia="方正仿宋简体" w:cs="Times New Roman"/>
          <w:color w:val="000000"/>
          <w:kern w:val="0"/>
          <w:sz w:val="32"/>
          <w:szCs w:val="32"/>
          <w:lang w:val="zh-CN" w:eastAsia="zh-CN" w:bidi="ar-SA"/>
        </w:rPr>
        <w:t>根据市委</w:t>
      </w:r>
      <w:r>
        <w:rPr>
          <w:rFonts w:hint="eastAsia" w:eastAsia="方正仿宋简体" w:cs="Times New Roman"/>
          <w:color w:val="000000"/>
          <w:kern w:val="0"/>
          <w:sz w:val="32"/>
          <w:szCs w:val="32"/>
          <w:lang w:val="zh-CN" w:eastAsia="zh-CN" w:bidi="ar-SA"/>
        </w:rPr>
        <w:t>、市</w:t>
      </w:r>
      <w:r>
        <w:rPr>
          <w:rFonts w:hint="eastAsia" w:ascii="Times New Roman" w:hAnsi="Times New Roman" w:eastAsia="方正仿宋简体" w:cs="Times New Roman"/>
          <w:color w:val="000000"/>
          <w:kern w:val="0"/>
          <w:sz w:val="32"/>
          <w:szCs w:val="32"/>
          <w:lang w:val="zh-CN" w:eastAsia="zh-CN" w:bidi="ar-SA"/>
        </w:rPr>
        <w:t>政府的工作部署和安排，2020年我局较好地完成各项城市管理工作任务，重点工作任务完成情况良好，达到了预期的绩效目标。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二</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存在问题。</w:t>
      </w:r>
      <w:r>
        <w:rPr>
          <w:rFonts w:hint="eastAsia" w:ascii="Times New Roman" w:hAnsi="Times New Roman" w:eastAsia="方正仿宋简体" w:cs="Times New Roman"/>
          <w:color w:val="000000"/>
          <w:kern w:val="0"/>
          <w:sz w:val="32"/>
          <w:szCs w:val="32"/>
          <w:lang w:val="zh-CN" w:eastAsia="zh-CN" w:bidi="ar-SA"/>
        </w:rPr>
        <w:t>一是年初预算安排不足，难以满足实际需求。如我局拆除经费2020年年初预算200万元，调整增加150万元（实际到位350万元），实际支出数为471余万元，截至目前缺口121万余元，且该项目经费纳入一般公共预算非税收入中安排，只有在非税收入实现的情况下才能拨付资金，资金拨付进度较慢；购买服务经费、协助执法人员经费年初纳入基金预算，资金拨付进度缓慢。二是执法装备不足且老化严重，特别是下属单位执法车辆严重短缺，随着城市规模的扩大，执法范围扩大，但我局目前仅有14辆执法用车，无法满足执法业务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三</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改进建议。</w:t>
      </w:r>
      <w:r>
        <w:rPr>
          <w:rFonts w:hint="eastAsia" w:ascii="Times New Roman" w:hAnsi="Times New Roman" w:eastAsia="方正仿宋简体" w:cs="Times New Roman"/>
          <w:color w:val="000000"/>
          <w:kern w:val="0"/>
          <w:sz w:val="32"/>
          <w:szCs w:val="32"/>
          <w:lang w:val="zh-CN" w:eastAsia="zh-CN" w:bidi="ar-SA"/>
        </w:rPr>
        <w:t>一是年初足额安排拆除、购买服务、协助执法人员等经费，且及时拨付资金 。二是强化对执法装备的经费投入，更换老旧执法车辆，按照城市规模和人口增加执法车辆编制及数量，或通过市场租赁等方式解决执法车辆不足的问题。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outlineLvl w:val="0"/>
        <w:rPr>
          <w:rFonts w:ascii="仿宋_GB2312" w:hAnsi="仿宋_GB2312" w:eastAsia="仿宋_GB2312" w:cs="仿宋_GB2312"/>
          <w:sz w:val="32"/>
          <w:szCs w:val="32"/>
        </w:rPr>
      </w:pPr>
      <w:bookmarkStart w:id="89" w:name="_Toc383"/>
      <w:r>
        <w:rPr>
          <w:rFonts w:hint="eastAsia" w:ascii="黑体" w:hAnsi="黑体" w:eastAsia="黑体" w:cs="黑体"/>
          <w:sz w:val="32"/>
          <w:szCs w:val="32"/>
        </w:rPr>
        <w:t>附件</w:t>
      </w:r>
      <w:r>
        <w:rPr>
          <w:rFonts w:ascii="黑体" w:hAnsi="黑体" w:eastAsia="黑体" w:cs="黑体"/>
          <w:sz w:val="32"/>
          <w:szCs w:val="32"/>
        </w:rPr>
        <w:t>2</w:t>
      </w:r>
      <w:bookmarkEnd w:id="89"/>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Fonts w:hint="eastAsia" w:ascii="方正小标宋简体" w:hAnsi="宋体" w:eastAsia="方正小标宋简体"/>
          <w:color w:val="000000"/>
          <w:kern w:val="0"/>
          <w:sz w:val="44"/>
          <w:szCs w:val="44"/>
          <w:lang w:val="zh-CN"/>
        </w:rPr>
      </w:pPr>
      <w:bookmarkStart w:id="90" w:name="_Toc23970"/>
      <w:r>
        <w:rPr>
          <w:rFonts w:hint="eastAsia" w:ascii="方正小标宋简体" w:hAnsi="宋体" w:eastAsia="方正小标宋简体"/>
          <w:color w:val="000000"/>
          <w:kern w:val="0"/>
          <w:sz w:val="44"/>
          <w:szCs w:val="44"/>
          <w:lang w:val="zh-CN"/>
        </w:rPr>
        <w:t>巴中市城市管理行政执法局</w:t>
      </w:r>
      <w:bookmarkEnd w:id="90"/>
    </w:p>
    <w:p>
      <w:pPr>
        <w:spacing w:line="600" w:lineRule="exact"/>
        <w:jc w:val="center"/>
        <w:outlineLvl w:val="0"/>
        <w:rPr>
          <w:rFonts w:ascii="方正小标宋简体" w:hAnsi="宋体" w:eastAsia="方正小标宋简体"/>
          <w:color w:val="000000"/>
          <w:kern w:val="0"/>
          <w:sz w:val="44"/>
          <w:szCs w:val="44"/>
          <w:lang w:val="zh-CN"/>
        </w:rPr>
      </w:pPr>
      <w:bookmarkStart w:id="91" w:name="_Toc17071"/>
      <w:r>
        <w:rPr>
          <w:rFonts w:hint="eastAsia" w:ascii="方正小标宋简体" w:hAnsi="宋体" w:eastAsia="方正小标宋简体"/>
          <w:color w:val="000000"/>
          <w:kern w:val="0"/>
          <w:sz w:val="44"/>
          <w:szCs w:val="44"/>
          <w:lang w:val="zh-CN"/>
        </w:rPr>
        <w:t>城市管理购买社会服务项目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bookmarkEnd w:id="91"/>
    </w:p>
    <w:p>
      <w:pPr>
        <w:spacing w:line="600" w:lineRule="exact"/>
        <w:rPr>
          <w:rFonts w:ascii="宋体"/>
          <w:sz w:val="32"/>
          <w:szCs w:val="32"/>
          <w:lang w:val="zh-CN"/>
        </w:rPr>
      </w:pPr>
    </w:p>
    <w:p>
      <w:pPr>
        <w:adjustRightInd w:val="0"/>
        <w:snapToGrid w:val="0"/>
        <w:spacing w:line="600" w:lineRule="exact"/>
        <w:ind w:firstLine="720"/>
        <w:outlineLvl w:val="0"/>
        <w:rPr>
          <w:rFonts w:ascii="黑体" w:hAnsi="宋体" w:eastAsia="黑体"/>
          <w:sz w:val="32"/>
          <w:szCs w:val="32"/>
          <w:lang w:val="zh-CN"/>
        </w:rPr>
      </w:pPr>
      <w:bookmarkStart w:id="92" w:name="_Toc17818"/>
      <w:r>
        <w:rPr>
          <w:rFonts w:hint="eastAsia" w:ascii="黑体" w:hAnsi="宋体" w:eastAsia="黑体"/>
          <w:sz w:val="32"/>
          <w:szCs w:val="32"/>
        </w:rPr>
        <w:t>一、</w:t>
      </w:r>
      <w:r>
        <w:rPr>
          <w:rFonts w:hint="eastAsia" w:ascii="黑体" w:hAnsi="宋体" w:eastAsia="黑体"/>
          <w:sz w:val="32"/>
          <w:szCs w:val="32"/>
          <w:lang w:val="zh-CN"/>
        </w:rPr>
        <w:t>项目概况</w:t>
      </w:r>
      <w:bookmarkEnd w:id="92"/>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93" w:name="_Toc2899"/>
      <w:r>
        <w:rPr>
          <w:rFonts w:hint="eastAsia" w:ascii="仿宋_GB2312" w:hAnsi="宋体" w:eastAsia="仿宋_GB2312"/>
          <w:b/>
          <w:bCs/>
          <w:sz w:val="32"/>
          <w:szCs w:val="32"/>
          <w:lang w:val="zh-CN"/>
        </w:rPr>
        <w:t>（一）项目基本情况。</w:t>
      </w:r>
      <w:bookmarkEnd w:id="9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我局城市管理购买社会服务经费支出项目，是在借鉴外地经验的基础上，在全省率先开展城市管理市场化试点，分别于2013年3月-2015年3月，对信合大厦至江北盛华堂片区和龙泉街至火车站等区域的城市管理进行了2年的先期试点，通过询价选择了试点单位并签订了试点劳务合同，试点效果显著。试点期满后，2019年5月进行公开招标，中标金额为412.88万元/年。按照“试点探索、先行先试、总结经验、全面推广”的思路，采取“政府主导、市场运作、社会参与”的模式，把市容市貌管理服务工作委托给符合资格资质条件的服务公司，由服务公司聘用的文明劝导服务人员，按照市容管理标准和城管部门的要求进行城市管理。2015年9月通过公开招标方式将盛华堂至大佛寺桥头标段及信合大厦至中杨大桥标段纳入城市管理购买服务项目进行政府集中采购，最终确定成都高洁环境卫生服务有限公司、巴中市彬鹏环境治理有限公司分别为盛华堂至大佛寺桥头标段及信合大厦至中杨大桥标段中标公司，中标金额分别为204.83万元/年、156.897万元/年，合同期限为3年，期满后据原合同约定，并经局党组会议研究决定续签，合同金额合计为397.85万元/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上述两项合计为810.73万元/年。</w:t>
      </w:r>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94" w:name="_Toc24741"/>
      <w:r>
        <w:rPr>
          <w:rFonts w:hint="eastAsia" w:ascii="仿宋_GB2312" w:hAnsi="宋体" w:eastAsia="仿宋_GB2312"/>
          <w:b/>
          <w:bCs/>
          <w:sz w:val="32"/>
          <w:szCs w:val="32"/>
          <w:lang w:val="zh-CN"/>
        </w:rPr>
        <w:t>（二）项目绩效目标。</w:t>
      </w:r>
      <w:bookmarkEnd w:id="9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该项目主要是通过市场化运作开展城市管理服务，达到城市规范、畅通、有序、文明、整洁的目标。服务公司通过安排工作人员采取三班倒无缝对接巡查管控，聘用文明劝导服务人员，按照市容管理标准和城管部门的要求，落实文明、亲民、服务理念，开展宣传文明城市创建、制止流动摊点和出店经营、劝导占道作业和乱停乱放、捡拾白色垃圾等文明劝导服务活动，将以前由执法人员的强制执法转化为服务公司的服务劝导。通过这种柔性服务、文明劝导的方式得到了市民的认可和接纳，让城市更加规范、畅通、有序、文明、整洁，也有效解决了在城市管理工作中执法力量不足、管理矛盾突出、执法纠纷频发等问题。同时激发了社会组建专业管理公司，鼓励物业管理企业参与城市管理业务。</w:t>
      </w:r>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95" w:name="_Toc30569"/>
      <w:r>
        <w:rPr>
          <w:rFonts w:hint="eastAsia" w:ascii="仿宋_GB2312" w:hAnsi="宋体" w:eastAsia="仿宋_GB2312"/>
          <w:b/>
          <w:bCs/>
          <w:sz w:val="32"/>
          <w:szCs w:val="32"/>
          <w:lang w:val="zh-CN"/>
        </w:rPr>
        <w:t>（三）项目资金申报相符性</w:t>
      </w:r>
      <w:bookmarkEnd w:id="95"/>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项目支出所申报的内容与实施的内容完全相符，未出现挤占挪用等情况，申报目标合理可行。</w:t>
      </w:r>
    </w:p>
    <w:p>
      <w:pPr>
        <w:adjustRightInd w:val="0"/>
        <w:snapToGrid w:val="0"/>
        <w:spacing w:line="600" w:lineRule="exact"/>
        <w:ind w:firstLine="720"/>
        <w:outlineLvl w:val="0"/>
        <w:rPr>
          <w:rFonts w:hint="eastAsia" w:ascii="仿宋_GB2312" w:hAnsi="宋体" w:eastAsia="仿宋_GB2312"/>
          <w:b/>
          <w:bCs/>
          <w:sz w:val="32"/>
          <w:szCs w:val="32"/>
          <w:lang w:val="zh-CN"/>
        </w:rPr>
      </w:pPr>
      <w:bookmarkStart w:id="96" w:name="_Toc4192"/>
      <w:r>
        <w:rPr>
          <w:rFonts w:hint="eastAsia" w:ascii="仿宋_GB2312" w:hAnsi="宋体" w:eastAsia="仿宋_GB2312"/>
          <w:b/>
          <w:bCs/>
          <w:sz w:val="32"/>
          <w:szCs w:val="32"/>
          <w:lang w:val="zh-CN"/>
        </w:rPr>
        <w:t>二、项目资金申报及使用情况</w:t>
      </w:r>
      <w:bookmarkEnd w:id="96"/>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97" w:name="_Toc2403"/>
      <w:r>
        <w:rPr>
          <w:rFonts w:hint="eastAsia" w:ascii="仿宋_GB2312" w:hAnsi="宋体" w:eastAsia="仿宋_GB2312"/>
          <w:b/>
          <w:bCs/>
          <w:sz w:val="32"/>
          <w:szCs w:val="32"/>
          <w:lang w:val="zh-CN"/>
        </w:rPr>
        <w:t>（一）资金计划、到位及使用情况</w:t>
      </w:r>
      <w:bookmarkEnd w:id="97"/>
    </w:p>
    <w:p>
      <w:pPr>
        <w:adjustRightInd w:val="0"/>
        <w:snapToGrid w:val="0"/>
        <w:spacing w:line="600" w:lineRule="exact"/>
        <w:ind w:firstLine="720"/>
        <w:outlineLvl w:val="2"/>
        <w:rPr>
          <w:rFonts w:hint="eastAsia" w:ascii="楷体" w:hAnsi="楷体" w:eastAsia="楷体" w:cs="楷体"/>
          <w:sz w:val="32"/>
          <w:szCs w:val="32"/>
          <w:lang w:val="zh-CN"/>
        </w:rPr>
      </w:pPr>
      <w:bookmarkStart w:id="98" w:name="_Toc32662"/>
      <w:r>
        <w:rPr>
          <w:rFonts w:hint="eastAsia" w:ascii="楷体" w:hAnsi="楷体" w:eastAsia="楷体" w:cs="楷体"/>
          <w:sz w:val="32"/>
          <w:szCs w:val="32"/>
          <w:lang w:val="zh-CN"/>
        </w:rPr>
        <w:t>1.资金计划及到位情况</w:t>
      </w:r>
      <w:bookmarkEnd w:id="9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按照预算管理的要求，我单位于年初对城市管理购买服务两项支出进行了预算申报。申报资金为810万元，上年结转资金627万元，共计1437万元。预算下达后，2020年通过财政大平台支出本年购买服务经费927万元，结转下年度使用510万元。</w:t>
      </w:r>
    </w:p>
    <w:p>
      <w:pPr>
        <w:adjustRightInd w:val="0"/>
        <w:snapToGrid w:val="0"/>
        <w:spacing w:line="600" w:lineRule="exact"/>
        <w:ind w:firstLine="720"/>
        <w:outlineLvl w:val="2"/>
        <w:rPr>
          <w:rFonts w:hint="eastAsia" w:ascii="楷体" w:hAnsi="楷体" w:eastAsia="楷体" w:cs="楷体"/>
          <w:b/>
          <w:bCs/>
          <w:sz w:val="32"/>
          <w:szCs w:val="32"/>
          <w:lang w:val="zh-CN"/>
        </w:rPr>
      </w:pPr>
      <w:bookmarkStart w:id="99" w:name="_Toc12919"/>
      <w:r>
        <w:rPr>
          <w:rFonts w:hint="eastAsia" w:ascii="楷体" w:hAnsi="楷体" w:eastAsia="楷体" w:cs="楷体"/>
          <w:b/>
          <w:bCs/>
          <w:sz w:val="32"/>
          <w:szCs w:val="32"/>
          <w:lang w:val="zh-CN"/>
        </w:rPr>
        <w:t>2.资金使用</w:t>
      </w:r>
      <w:bookmarkEnd w:id="9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2020年度城市管理购买服务实际应支付810万元，2020年实现支付927万元（其中本年支出333.31万元，上年支出593.69万元），2021年支付490.93万元（其中2020年476.69万元，其他年度年支出14.24万元）。该项目资金的支付严格按照资金开支范围、预算管理的要求执行。本年预算结转510万元，主要原因是该笔资金在年终决算财政停止支付后拨付到位，无法及时支付，该项经费已于2021年在购买服务结转经费中支付。</w:t>
      </w:r>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100" w:name="_Toc28116"/>
      <w:r>
        <w:rPr>
          <w:rFonts w:hint="eastAsia" w:ascii="仿宋_GB2312" w:hAnsi="宋体" w:eastAsia="仿宋_GB2312"/>
          <w:b/>
          <w:bCs/>
          <w:sz w:val="32"/>
          <w:szCs w:val="32"/>
          <w:lang w:val="zh-CN"/>
        </w:rPr>
        <w:t>（二）项目财务管理情况</w:t>
      </w:r>
      <w:bookmarkEnd w:id="10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为了加强对服务公司的管理考核及规范资金管理，达到项目绩效目标，一是在制度建设上，我局制定了《巴中市政府购买城市管理服务工作实施方案》、《巴中市城区政府购买城市管理服务考核办法（试行）》、《巴中市城区政府购买城市管理服务考核细则（试行）》，并严格执行；二是在严格考核上，成立了城市管理购买服务考核小组，按照考核办法及考评细则的规定，坚持公平、公正考核，保证购买工作取得成效；三是在会计核算上，对项目资金进行了单独核算并及时、</w:t>
      </w:r>
      <w:r>
        <w:rPr>
          <w:rFonts w:hint="eastAsia" w:eastAsia="方正仿宋简体" w:cs="Times New Roman"/>
          <w:color w:val="000000"/>
          <w:kern w:val="0"/>
          <w:sz w:val="32"/>
          <w:szCs w:val="32"/>
          <w:lang w:val="zh-CN" w:eastAsia="zh-CN" w:bidi="ar-SA"/>
        </w:rPr>
        <w:t>规范地进行</w:t>
      </w:r>
      <w:r>
        <w:rPr>
          <w:rFonts w:hint="eastAsia" w:ascii="Times New Roman" w:hAnsi="Times New Roman" w:eastAsia="方正仿宋简体" w:cs="Times New Roman"/>
          <w:color w:val="000000"/>
          <w:kern w:val="0"/>
          <w:sz w:val="32"/>
          <w:szCs w:val="32"/>
          <w:lang w:val="zh-CN" w:eastAsia="zh-CN" w:bidi="ar-SA"/>
        </w:rPr>
        <w:t>了财务处理，做到了会计信息真实、完整。</w:t>
      </w:r>
    </w:p>
    <w:p>
      <w:pPr>
        <w:adjustRightInd w:val="0"/>
        <w:snapToGrid w:val="0"/>
        <w:spacing w:line="600" w:lineRule="exact"/>
        <w:ind w:firstLine="720"/>
        <w:outlineLvl w:val="1"/>
        <w:rPr>
          <w:rFonts w:hint="eastAsia" w:ascii="仿宋_GB2312" w:hAnsi="宋体" w:eastAsia="仿宋_GB2312"/>
          <w:b/>
          <w:bCs/>
          <w:sz w:val="32"/>
          <w:szCs w:val="32"/>
          <w:lang w:val="zh-CN"/>
        </w:rPr>
      </w:pPr>
      <w:bookmarkStart w:id="101" w:name="_Toc17003"/>
      <w:r>
        <w:rPr>
          <w:rFonts w:hint="eastAsia" w:ascii="仿宋_GB2312" w:hAnsi="宋体" w:eastAsia="仿宋_GB2312"/>
          <w:b/>
          <w:bCs/>
          <w:sz w:val="32"/>
          <w:szCs w:val="32"/>
          <w:lang w:val="zh-CN"/>
        </w:rPr>
        <w:t>（三）项目组织实施情况</w:t>
      </w:r>
      <w:bookmarkEnd w:id="101"/>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color w:val="000000"/>
          <w:kern w:val="0"/>
          <w:sz w:val="32"/>
          <w:szCs w:val="32"/>
          <w:lang w:val="zh-CN" w:eastAsia="zh-CN" w:bidi="ar-SA"/>
        </w:rPr>
      </w:pPr>
      <w:bookmarkStart w:id="102" w:name="_Toc26768"/>
      <w:r>
        <w:rPr>
          <w:rFonts w:hint="eastAsia" w:ascii="楷体" w:hAnsi="楷体" w:eastAsia="楷体" w:cs="楷体"/>
          <w:color w:val="000000"/>
          <w:kern w:val="0"/>
          <w:sz w:val="32"/>
          <w:szCs w:val="32"/>
          <w:lang w:val="zh-CN" w:eastAsia="zh-CN" w:bidi="ar-SA"/>
        </w:rPr>
        <w:t>1.采购招标。</w:t>
      </w:r>
      <w:bookmarkEnd w:id="10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该项目严格按照政府采购、招投标相关规定执行，报财政采购审核备案，通过市公共资源交易和服务中心和采购中介代理机构公开招标确定的中标供应商。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color w:val="000000"/>
          <w:kern w:val="0"/>
          <w:sz w:val="32"/>
          <w:szCs w:val="32"/>
          <w:lang w:val="zh-CN" w:eastAsia="zh-CN" w:bidi="ar-SA"/>
        </w:rPr>
      </w:pPr>
      <w:bookmarkStart w:id="103" w:name="_Toc8856"/>
      <w:r>
        <w:rPr>
          <w:rFonts w:hint="eastAsia" w:ascii="楷体" w:hAnsi="楷体" w:eastAsia="楷体" w:cs="楷体"/>
          <w:color w:val="000000"/>
          <w:kern w:val="0"/>
          <w:sz w:val="32"/>
          <w:szCs w:val="32"/>
          <w:lang w:val="zh-CN" w:eastAsia="zh-CN" w:bidi="ar-SA"/>
        </w:rPr>
        <w:t>2.考核管理。</w:t>
      </w:r>
      <w:bookmarkEnd w:id="10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按照采购合同的约定，由城市管理购买服务考核小组负责对服务公司城市管理购买服务的情况进行考核，考核小组按照考评细则采取日常巡查、不定期抽查、综合考核相结合的方式组织考核，每月对购买服务区域抽查不得少于3次，综合考核1次。考核合格后并经考核验收小组签字确认后，再按照财务管理相关规定的程序办理资金支付。2020年市委对该项目进行巡察后，我局就该项目考核进行了再次确认，让社区参与考核，提升辖区居民满意率。</w:t>
      </w:r>
    </w:p>
    <w:p>
      <w:pPr>
        <w:adjustRightInd w:val="0"/>
        <w:snapToGrid w:val="0"/>
        <w:spacing w:line="600" w:lineRule="exact"/>
        <w:ind w:firstLine="720"/>
        <w:outlineLvl w:val="0"/>
        <w:rPr>
          <w:rFonts w:hint="eastAsia" w:ascii="仿宋_GB2312" w:hAnsi="宋体" w:eastAsia="仿宋_GB2312"/>
          <w:b/>
          <w:bCs/>
          <w:sz w:val="32"/>
          <w:szCs w:val="32"/>
          <w:lang w:val="zh-CN"/>
        </w:rPr>
      </w:pPr>
      <w:bookmarkStart w:id="104" w:name="_Toc26251"/>
      <w:r>
        <w:rPr>
          <w:rFonts w:hint="eastAsia" w:ascii="仿宋_GB2312" w:hAnsi="宋体" w:eastAsia="仿宋_GB2312"/>
          <w:b/>
          <w:bCs/>
          <w:sz w:val="32"/>
          <w:szCs w:val="32"/>
          <w:lang w:val="zh-CN"/>
        </w:rPr>
        <w:t>三、目标完成情况</w:t>
      </w:r>
      <w:bookmarkEnd w:id="104"/>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b/>
          <w:bCs/>
          <w:sz w:val="32"/>
          <w:szCs w:val="32"/>
          <w:lang w:val="zh-CN"/>
        </w:rPr>
        <w:t>（一）目标任务量完成情况</w:t>
      </w:r>
      <w:r>
        <w:rPr>
          <w:rFonts w:hint="eastAsia" w:ascii="仿宋_GB2312" w:hAnsi="宋体" w:eastAsia="仿宋_GB2312"/>
          <w:sz w:val="32"/>
          <w:szCs w:val="32"/>
          <w:lang w:val="zh-CN"/>
        </w:rPr>
        <w:t>。</w:t>
      </w:r>
      <w:r>
        <w:rPr>
          <w:rFonts w:hint="eastAsia" w:ascii="Times New Roman" w:hAnsi="Times New Roman" w:eastAsia="方正仿宋简体" w:cs="Times New Roman"/>
          <w:color w:val="000000"/>
          <w:kern w:val="0"/>
          <w:sz w:val="32"/>
          <w:szCs w:val="32"/>
          <w:lang w:val="zh-CN" w:eastAsia="zh-CN" w:bidi="ar-SA"/>
        </w:rPr>
        <w:t>按照我单位考核、管理、培训等要求，按时、按质完成盛华堂至大佛寺桥头段、信合大厦至中杨大桥段、信合大厦至江北盛华堂片区和龙泉街至火车站段城市管理工作。</w:t>
      </w:r>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b/>
          <w:bCs/>
          <w:sz w:val="32"/>
          <w:szCs w:val="32"/>
          <w:lang w:val="zh-CN"/>
        </w:rPr>
        <w:t>（二）目标质量完成情况。</w:t>
      </w:r>
      <w:r>
        <w:rPr>
          <w:rFonts w:hint="eastAsia" w:ascii="Times New Roman" w:hAnsi="Times New Roman" w:eastAsia="方正仿宋简体" w:cs="Times New Roman"/>
          <w:color w:val="000000"/>
          <w:kern w:val="0"/>
          <w:sz w:val="32"/>
          <w:szCs w:val="32"/>
          <w:lang w:val="zh-CN" w:eastAsia="zh-CN" w:bidi="ar-SA"/>
        </w:rPr>
        <w:t>我单位每月对城市管理购买服务情况的考核，得分均在95分以上，达到了城市管理购买服务质量要求。</w:t>
      </w:r>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b/>
          <w:bCs/>
          <w:sz w:val="32"/>
          <w:szCs w:val="32"/>
          <w:lang w:val="zh-CN"/>
        </w:rPr>
        <w:t>（三）目标进度完成情况。</w:t>
      </w:r>
      <w:r>
        <w:rPr>
          <w:rFonts w:hint="eastAsia" w:ascii="Times New Roman" w:hAnsi="Times New Roman" w:eastAsia="方正仿宋简体" w:cs="Times New Roman"/>
          <w:color w:val="000000"/>
          <w:kern w:val="0"/>
          <w:sz w:val="32"/>
          <w:szCs w:val="32"/>
          <w:lang w:val="zh-CN" w:eastAsia="zh-CN" w:bidi="ar-SA"/>
        </w:rPr>
        <w:t>每月由考核小组采取日常巡查、不定期抽查、综合考核相结合的方式组织考核，对本月购买服务进行考核验收，考核合格后拨付进度款项。</w:t>
      </w:r>
    </w:p>
    <w:p>
      <w:pPr>
        <w:adjustRightInd w:val="0"/>
        <w:snapToGrid w:val="0"/>
        <w:spacing w:line="600" w:lineRule="exact"/>
        <w:ind w:firstLine="720"/>
        <w:outlineLvl w:val="0"/>
        <w:rPr>
          <w:rFonts w:hint="eastAsia" w:ascii="仿宋_GB2312" w:hAnsi="宋体" w:eastAsia="仿宋_GB2312"/>
          <w:b/>
          <w:bCs/>
          <w:sz w:val="32"/>
          <w:szCs w:val="32"/>
          <w:lang w:val="zh-CN"/>
        </w:rPr>
      </w:pPr>
      <w:bookmarkStart w:id="105" w:name="_Toc7745"/>
      <w:r>
        <w:rPr>
          <w:rFonts w:hint="eastAsia" w:ascii="仿宋_GB2312" w:hAnsi="宋体" w:eastAsia="仿宋_GB2312"/>
          <w:b/>
          <w:bCs/>
          <w:sz w:val="32"/>
          <w:szCs w:val="32"/>
          <w:lang w:val="zh-CN"/>
        </w:rPr>
        <w:t>四、项目效益情况</w:t>
      </w:r>
      <w:bookmarkEnd w:id="105"/>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b/>
          <w:bCs/>
          <w:sz w:val="32"/>
          <w:szCs w:val="32"/>
          <w:lang w:val="zh-CN"/>
        </w:rPr>
        <w:t>（一）经济效益</w:t>
      </w:r>
      <w:r>
        <w:rPr>
          <w:rFonts w:hint="eastAsia" w:ascii="仿宋_GB2312" w:hAnsi="宋体" w:eastAsia="仿宋_GB2312"/>
          <w:sz w:val="32"/>
          <w:szCs w:val="32"/>
          <w:lang w:val="zh-CN"/>
        </w:rPr>
        <w:t>：</w:t>
      </w:r>
      <w:r>
        <w:rPr>
          <w:rFonts w:hint="eastAsia" w:ascii="Times New Roman" w:hAnsi="Times New Roman" w:eastAsia="方正仿宋简体" w:cs="Times New Roman"/>
          <w:color w:val="000000"/>
          <w:kern w:val="0"/>
          <w:sz w:val="32"/>
          <w:szCs w:val="32"/>
          <w:lang w:val="zh-CN" w:eastAsia="zh-CN" w:bidi="ar-SA"/>
        </w:rPr>
        <w:t>通过城市管理社会购买服务对城市秩序进行劝导，对违法建设进行有效控制，对城市管理各种违法、违规行为进行整治，为经济发展创造有利的投资环境。</w:t>
      </w:r>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仿宋_GB2312" w:hAnsi="宋体" w:eastAsia="仿宋_GB2312"/>
          <w:b/>
          <w:bCs/>
          <w:sz w:val="32"/>
          <w:szCs w:val="32"/>
          <w:lang w:val="zh-CN"/>
        </w:rPr>
        <w:t>（二）社会效益</w:t>
      </w:r>
      <w:r>
        <w:rPr>
          <w:rFonts w:hint="eastAsia" w:ascii="仿宋_GB2312" w:hAnsi="宋体" w:eastAsia="仿宋_GB2312"/>
          <w:sz w:val="32"/>
          <w:szCs w:val="32"/>
          <w:lang w:val="zh-CN"/>
        </w:rPr>
        <w:t>：</w:t>
      </w:r>
      <w:r>
        <w:rPr>
          <w:rFonts w:hint="eastAsia" w:ascii="Times New Roman" w:hAnsi="Times New Roman" w:eastAsia="方正仿宋简体" w:cs="Times New Roman"/>
          <w:color w:val="000000"/>
          <w:kern w:val="0"/>
          <w:sz w:val="32"/>
          <w:szCs w:val="32"/>
          <w:lang w:val="zh-CN" w:eastAsia="zh-CN" w:bidi="ar-SA"/>
        </w:rPr>
        <w:t>加强了对城市管理的各种乱象的治理力度，创造干净、有序的城市环境，是满足城市居民的迫切需要。</w:t>
      </w:r>
    </w:p>
    <w:p>
      <w:pPr>
        <w:adjustRightInd w:val="0"/>
        <w:snapToGrid w:val="0"/>
        <w:spacing w:line="600" w:lineRule="exact"/>
        <w:ind w:firstLine="720"/>
        <w:outlineLvl w:val="0"/>
        <w:rPr>
          <w:rFonts w:hint="eastAsia" w:ascii="仿宋_GB2312" w:hAnsi="宋体" w:eastAsia="仿宋_GB2312"/>
          <w:b/>
          <w:bCs/>
          <w:sz w:val="32"/>
          <w:szCs w:val="32"/>
          <w:lang w:val="zh-CN"/>
        </w:rPr>
      </w:pPr>
      <w:bookmarkStart w:id="106" w:name="_Toc8031"/>
      <w:r>
        <w:rPr>
          <w:rFonts w:hint="eastAsia" w:ascii="仿宋_GB2312" w:hAnsi="宋体" w:eastAsia="仿宋_GB2312"/>
          <w:b/>
          <w:bCs/>
          <w:sz w:val="32"/>
          <w:szCs w:val="32"/>
          <w:lang w:val="zh-CN"/>
        </w:rPr>
        <w:t>五、问题及建议</w:t>
      </w:r>
      <w:bookmarkEnd w:id="106"/>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r>
        <w:rPr>
          <w:rFonts w:hint="eastAsia" w:ascii="Times New Roman" w:hAnsi="Times New Roman" w:eastAsia="方正仿宋简体" w:cs="Times New Roman"/>
          <w:color w:val="000000"/>
          <w:kern w:val="0"/>
          <w:sz w:val="32"/>
          <w:szCs w:val="32"/>
          <w:lang w:val="zh-CN" w:eastAsia="zh-CN" w:bidi="ar-SA"/>
        </w:rPr>
        <w:t>我局城市管理社会购买服务支出项目在年初预算时，纳入政府性基金安排，该项支出是在政府性基金收入实现的情况下，才能拨付到单位，无法按月拨付。由于我局城市管理社会购买服务经费90%以上用于支付服务公司人员工资，为确保人员工资按月支付，维护信访稳定，建议及时拨付该项目资金。</w:t>
      </w:r>
    </w:p>
    <w:p>
      <w:pPr>
        <w:adjustRightInd w:val="0"/>
        <w:snapToGrid w:val="0"/>
        <w:spacing w:line="600" w:lineRule="exact"/>
        <w:ind w:firstLine="720"/>
        <w:rPr>
          <w:rFonts w:hint="eastAsia" w:ascii="Times New Roman" w:hAnsi="Times New Roman" w:eastAsia="方正仿宋简体" w:cs="Times New Roman"/>
          <w:color w:val="000000"/>
          <w:kern w:val="0"/>
          <w:sz w:val="32"/>
          <w:szCs w:val="32"/>
          <w:lang w:val="zh-CN" w:eastAsia="zh-CN" w:bidi="ar-SA"/>
        </w:rPr>
      </w:pPr>
    </w:p>
    <w:p>
      <w:pPr>
        <w:spacing w:line="580" w:lineRule="exact"/>
        <w:ind w:firstLine="640"/>
        <w:rPr>
          <w:rFonts w:ascii="仿宋_GB2312" w:hAnsi="仿宋_GB2312" w:eastAsia="仿宋_GB2312" w:cs="仿宋_GB2312"/>
          <w:sz w:val="32"/>
          <w:szCs w:val="32"/>
        </w:rPr>
      </w:pPr>
    </w:p>
    <w:p>
      <w:pPr>
        <w:widowControl/>
        <w:jc w:val="left"/>
        <w:rPr>
          <w:rStyle w:val="14"/>
          <w:rFonts w:ascii="黑体" w:hAnsi="黑体" w:eastAsia="黑体"/>
          <w:b w:val="0"/>
        </w:rPr>
      </w:pPr>
    </w:p>
    <w:p>
      <w:pPr>
        <w:widowControl/>
        <w:jc w:val="left"/>
        <w:rPr>
          <w:rStyle w:val="14"/>
          <w:rFonts w:ascii="黑体" w:hAnsi="黑体" w:eastAsia="黑体"/>
          <w:b w:val="0"/>
        </w:rPr>
      </w:pPr>
      <w:r>
        <w:rPr>
          <w:rStyle w:val="14"/>
          <w:rFonts w:ascii="黑体" w:hAnsi="黑体" w:eastAsia="黑体"/>
          <w:b w:val="0"/>
        </w:rPr>
        <w:br w:type="page"/>
      </w:r>
    </w:p>
    <w:p>
      <w:pPr>
        <w:spacing w:line="600" w:lineRule="exact"/>
        <w:jc w:val="center"/>
        <w:outlineLvl w:val="9"/>
        <w:rPr>
          <w:rStyle w:val="14"/>
          <w:rFonts w:ascii="黑体" w:hAnsi="黑体" w:eastAsia="黑体"/>
          <w:b w:val="0"/>
        </w:rPr>
      </w:pPr>
    </w:p>
    <w:p>
      <w:pPr>
        <w:spacing w:line="600" w:lineRule="exact"/>
        <w:jc w:val="center"/>
        <w:outlineLvl w:val="0"/>
        <w:rPr>
          <w:rStyle w:val="14"/>
          <w:rFonts w:ascii="黑体" w:hAnsi="黑体" w:eastAsia="黑体"/>
          <w:b w:val="0"/>
        </w:rPr>
      </w:pPr>
      <w:bookmarkStart w:id="107" w:name="_Toc15396618"/>
      <w:bookmarkStart w:id="108" w:name="_Toc19061"/>
      <w:r>
        <w:rPr>
          <w:rFonts w:hint="eastAsia" w:ascii="黑体" w:hAnsi="黑体" w:eastAsia="黑体"/>
          <w:color w:val="000000"/>
          <w:sz w:val="44"/>
          <w:szCs w:val="44"/>
        </w:rPr>
        <w:t>第</w:t>
      </w:r>
      <w:r>
        <w:rPr>
          <w:rStyle w:val="14"/>
          <w:rFonts w:hint="eastAsia" w:ascii="黑体" w:hAnsi="黑体" w:eastAsia="黑体"/>
          <w:b w:val="0"/>
        </w:rPr>
        <w:t>五部分</w:t>
      </w:r>
      <w:r>
        <w:rPr>
          <w:rStyle w:val="14"/>
          <w:rFonts w:ascii="黑体" w:hAnsi="黑体" w:eastAsia="黑体"/>
          <w:b w:val="0"/>
        </w:rPr>
        <w:t xml:space="preserve"> </w:t>
      </w:r>
      <w:r>
        <w:rPr>
          <w:rStyle w:val="14"/>
          <w:rFonts w:hint="eastAsia" w:ascii="黑体" w:hAnsi="黑体" w:eastAsia="黑体"/>
          <w:b w:val="0"/>
        </w:rPr>
        <w:t>附表</w:t>
      </w:r>
      <w:bookmarkEnd w:id="86"/>
      <w:bookmarkEnd w:id="107"/>
      <w:bookmarkEnd w:id="108"/>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109" w:name="_Toc15396619"/>
      <w:bookmarkStart w:id="110" w:name="_Toc2130"/>
      <w:r>
        <w:rPr>
          <w:rFonts w:hint="eastAsia" w:ascii="仿宋" w:hAnsi="仿宋" w:eastAsia="仿宋"/>
          <w:b w:val="0"/>
          <w:color w:val="000000"/>
        </w:rPr>
        <w:t>一、收</w:t>
      </w:r>
      <w:r>
        <w:rPr>
          <w:rStyle w:val="15"/>
          <w:rFonts w:hint="eastAsia" w:ascii="仿宋" w:hAnsi="仿宋" w:eastAsia="仿宋"/>
          <w:b w:val="0"/>
          <w:bCs w:val="0"/>
        </w:rPr>
        <w:t>入支出决算总表</w:t>
      </w:r>
      <w:bookmarkEnd w:id="109"/>
      <w:bookmarkEnd w:id="110"/>
    </w:p>
    <w:p>
      <w:pPr>
        <w:pStyle w:val="3"/>
        <w:rPr>
          <w:rFonts w:ascii="仿宋" w:hAnsi="仿宋" w:eastAsia="仿宋"/>
          <w:color w:val="000000"/>
        </w:rPr>
      </w:pPr>
      <w:bookmarkStart w:id="111" w:name="_Toc15396620"/>
      <w:bookmarkStart w:id="112" w:name="_Toc29195"/>
      <w:r>
        <w:rPr>
          <w:rFonts w:hint="eastAsia" w:ascii="仿宋" w:hAnsi="仿宋" w:eastAsia="仿宋"/>
          <w:b w:val="0"/>
          <w:color w:val="000000"/>
        </w:rPr>
        <w:t>二、收</w:t>
      </w:r>
      <w:r>
        <w:rPr>
          <w:rStyle w:val="15"/>
          <w:rFonts w:hint="eastAsia" w:ascii="仿宋" w:hAnsi="仿宋" w:eastAsia="仿宋"/>
          <w:b w:val="0"/>
          <w:bCs w:val="0"/>
        </w:rPr>
        <w:t>入决算表</w:t>
      </w:r>
      <w:bookmarkEnd w:id="111"/>
      <w:bookmarkEnd w:id="112"/>
    </w:p>
    <w:p>
      <w:pPr>
        <w:pStyle w:val="3"/>
        <w:rPr>
          <w:rFonts w:ascii="仿宋" w:hAnsi="仿宋" w:eastAsia="仿宋"/>
          <w:color w:val="000000"/>
        </w:rPr>
      </w:pPr>
      <w:bookmarkStart w:id="113" w:name="_Toc15396621"/>
      <w:bookmarkStart w:id="114" w:name="_Toc26852"/>
      <w:r>
        <w:rPr>
          <w:rStyle w:val="15"/>
          <w:rFonts w:hint="eastAsia" w:ascii="仿宋" w:hAnsi="仿宋" w:eastAsia="仿宋"/>
          <w:b w:val="0"/>
          <w:bCs w:val="0"/>
        </w:rPr>
        <w:t>三、</w:t>
      </w:r>
      <w:r>
        <w:rPr>
          <w:rFonts w:hint="eastAsia" w:ascii="仿宋" w:hAnsi="仿宋" w:eastAsia="仿宋"/>
          <w:b w:val="0"/>
          <w:color w:val="000000"/>
        </w:rPr>
        <w:t>支</w:t>
      </w:r>
      <w:r>
        <w:rPr>
          <w:rStyle w:val="15"/>
          <w:rFonts w:hint="eastAsia" w:ascii="仿宋" w:hAnsi="仿宋" w:eastAsia="仿宋"/>
          <w:b w:val="0"/>
          <w:bCs w:val="0"/>
        </w:rPr>
        <w:t>出决算表</w:t>
      </w:r>
      <w:bookmarkEnd w:id="113"/>
      <w:bookmarkEnd w:id="114"/>
    </w:p>
    <w:p>
      <w:pPr>
        <w:pStyle w:val="3"/>
        <w:rPr>
          <w:rFonts w:ascii="仿宋" w:hAnsi="仿宋" w:eastAsia="仿宋"/>
          <w:b w:val="0"/>
          <w:color w:val="000000"/>
        </w:rPr>
      </w:pPr>
      <w:bookmarkStart w:id="115" w:name="_Toc15396622"/>
      <w:bookmarkStart w:id="116" w:name="_Toc20092"/>
      <w:r>
        <w:rPr>
          <w:rStyle w:val="15"/>
          <w:rFonts w:hint="eastAsia" w:ascii="仿宋" w:hAnsi="仿宋" w:eastAsia="仿宋"/>
          <w:b w:val="0"/>
          <w:bCs w:val="0"/>
        </w:rPr>
        <w:t>四、</w:t>
      </w:r>
      <w:r>
        <w:rPr>
          <w:rFonts w:hint="eastAsia" w:ascii="仿宋" w:hAnsi="仿宋" w:eastAsia="仿宋"/>
          <w:b w:val="0"/>
          <w:color w:val="000000"/>
        </w:rPr>
        <w:t>财</w:t>
      </w:r>
      <w:r>
        <w:rPr>
          <w:rStyle w:val="15"/>
          <w:rFonts w:hint="eastAsia" w:ascii="仿宋" w:hAnsi="仿宋" w:eastAsia="仿宋"/>
          <w:b w:val="0"/>
          <w:bCs w:val="0"/>
        </w:rPr>
        <w:t>政拨款收入支出决算总表</w:t>
      </w:r>
      <w:bookmarkEnd w:id="115"/>
      <w:bookmarkEnd w:id="116"/>
    </w:p>
    <w:p>
      <w:pPr>
        <w:pStyle w:val="3"/>
        <w:rPr>
          <w:rStyle w:val="15"/>
          <w:rFonts w:ascii="仿宋" w:hAnsi="仿宋" w:eastAsia="仿宋"/>
          <w:b w:val="0"/>
          <w:bCs w:val="0"/>
        </w:rPr>
      </w:pPr>
      <w:bookmarkStart w:id="117" w:name="_Toc15396623"/>
      <w:bookmarkStart w:id="118" w:name="_Toc19639"/>
      <w:r>
        <w:rPr>
          <w:rStyle w:val="15"/>
          <w:rFonts w:hint="eastAsia" w:ascii="仿宋" w:hAnsi="仿宋" w:eastAsia="仿宋"/>
          <w:b w:val="0"/>
          <w:bCs w:val="0"/>
        </w:rPr>
        <w:t>五、</w:t>
      </w:r>
      <w:r>
        <w:rPr>
          <w:rFonts w:hint="eastAsia" w:ascii="仿宋" w:hAnsi="仿宋" w:eastAsia="仿宋"/>
          <w:b w:val="0"/>
          <w:color w:val="000000"/>
        </w:rPr>
        <w:t>财</w:t>
      </w:r>
      <w:r>
        <w:rPr>
          <w:rStyle w:val="15"/>
          <w:rFonts w:hint="eastAsia" w:ascii="仿宋" w:hAnsi="仿宋" w:eastAsia="仿宋"/>
          <w:b w:val="0"/>
          <w:bCs w:val="0"/>
        </w:rPr>
        <w:t>政拨款支出决算明细表</w:t>
      </w:r>
      <w:bookmarkEnd w:id="117"/>
      <w:bookmarkEnd w:id="118"/>
      <w:bookmarkStart w:id="119" w:name="_Toc15396624"/>
    </w:p>
    <w:p>
      <w:pPr>
        <w:pStyle w:val="3"/>
        <w:rPr>
          <w:rFonts w:ascii="仿宋" w:hAnsi="仿宋" w:eastAsia="仿宋"/>
          <w:color w:val="000000"/>
        </w:rPr>
      </w:pPr>
      <w:bookmarkStart w:id="120" w:name="_Toc23727"/>
      <w:r>
        <w:rPr>
          <w:rStyle w:val="15"/>
          <w:rFonts w:hint="eastAsia" w:ascii="仿宋" w:hAnsi="仿宋" w:eastAsia="仿宋"/>
          <w:b w:val="0"/>
          <w:bCs w:val="0"/>
        </w:rPr>
        <w:t>六、</w:t>
      </w:r>
      <w:r>
        <w:rPr>
          <w:rFonts w:hint="eastAsia" w:ascii="仿宋" w:hAnsi="仿宋" w:eastAsia="仿宋"/>
          <w:b w:val="0"/>
          <w:color w:val="000000"/>
        </w:rPr>
        <w:t>一</w:t>
      </w:r>
      <w:r>
        <w:rPr>
          <w:rStyle w:val="15"/>
          <w:rFonts w:hint="eastAsia" w:ascii="仿宋" w:hAnsi="仿宋" w:eastAsia="仿宋"/>
          <w:b w:val="0"/>
          <w:bCs w:val="0"/>
        </w:rPr>
        <w:t>般公共预算财政拨款支出决算表</w:t>
      </w:r>
      <w:bookmarkEnd w:id="119"/>
      <w:bookmarkEnd w:id="120"/>
    </w:p>
    <w:p>
      <w:pPr>
        <w:pStyle w:val="3"/>
        <w:rPr>
          <w:rFonts w:ascii="仿宋" w:hAnsi="仿宋" w:eastAsia="仿宋"/>
          <w:color w:val="000000"/>
        </w:rPr>
      </w:pPr>
      <w:bookmarkStart w:id="121" w:name="_Toc15396625"/>
      <w:bookmarkStart w:id="122" w:name="_Toc1467"/>
      <w:r>
        <w:rPr>
          <w:rStyle w:val="15"/>
          <w:rFonts w:hint="eastAsia" w:ascii="仿宋" w:hAnsi="仿宋" w:eastAsia="仿宋"/>
          <w:b w:val="0"/>
          <w:bCs w:val="0"/>
        </w:rPr>
        <w:t>七、</w:t>
      </w:r>
      <w:r>
        <w:rPr>
          <w:rFonts w:hint="eastAsia" w:ascii="仿宋" w:hAnsi="仿宋" w:eastAsia="仿宋"/>
          <w:b w:val="0"/>
          <w:color w:val="000000"/>
        </w:rPr>
        <w:t>一</w:t>
      </w:r>
      <w:r>
        <w:rPr>
          <w:rStyle w:val="15"/>
          <w:rFonts w:hint="eastAsia" w:ascii="仿宋" w:hAnsi="仿宋" w:eastAsia="仿宋"/>
          <w:b w:val="0"/>
          <w:bCs w:val="0"/>
        </w:rPr>
        <w:t>般公共预算财政拨款支出决算明细表</w:t>
      </w:r>
      <w:bookmarkEnd w:id="121"/>
      <w:bookmarkEnd w:id="122"/>
    </w:p>
    <w:p>
      <w:pPr>
        <w:pStyle w:val="3"/>
        <w:rPr>
          <w:rFonts w:ascii="仿宋" w:hAnsi="仿宋" w:eastAsia="仿宋"/>
          <w:color w:val="000000"/>
        </w:rPr>
      </w:pPr>
      <w:bookmarkStart w:id="123" w:name="_Toc21739"/>
      <w:bookmarkStart w:id="124" w:name="_Toc15396626"/>
      <w:r>
        <w:rPr>
          <w:rStyle w:val="15"/>
          <w:rFonts w:hint="eastAsia" w:ascii="仿宋" w:hAnsi="仿宋" w:eastAsia="仿宋"/>
          <w:b w:val="0"/>
          <w:bCs w:val="0"/>
        </w:rPr>
        <w:t>八、</w:t>
      </w:r>
      <w:r>
        <w:rPr>
          <w:rFonts w:hint="eastAsia" w:ascii="仿宋" w:hAnsi="仿宋" w:eastAsia="仿宋"/>
          <w:b w:val="0"/>
          <w:color w:val="000000"/>
        </w:rPr>
        <w:t>一</w:t>
      </w:r>
      <w:r>
        <w:rPr>
          <w:rStyle w:val="15"/>
          <w:rFonts w:hint="eastAsia" w:ascii="仿宋" w:hAnsi="仿宋" w:eastAsia="仿宋"/>
          <w:b w:val="0"/>
          <w:bCs w:val="0"/>
        </w:rPr>
        <w:t>般公共预算财政拨款基本支出决算表</w:t>
      </w:r>
      <w:bookmarkEnd w:id="123"/>
      <w:bookmarkEnd w:id="124"/>
    </w:p>
    <w:p>
      <w:pPr>
        <w:pStyle w:val="3"/>
        <w:rPr>
          <w:rFonts w:ascii="仿宋" w:hAnsi="仿宋" w:eastAsia="仿宋"/>
          <w:color w:val="000000"/>
        </w:rPr>
      </w:pPr>
      <w:bookmarkStart w:id="125" w:name="_Toc15396627"/>
      <w:bookmarkStart w:id="126" w:name="_Toc18636"/>
      <w:r>
        <w:rPr>
          <w:rStyle w:val="15"/>
          <w:rFonts w:hint="eastAsia" w:ascii="仿宋" w:hAnsi="仿宋" w:eastAsia="仿宋"/>
          <w:b w:val="0"/>
          <w:bCs w:val="0"/>
        </w:rPr>
        <w:t>九、</w:t>
      </w:r>
      <w:r>
        <w:rPr>
          <w:rFonts w:hint="eastAsia" w:ascii="仿宋" w:hAnsi="仿宋" w:eastAsia="仿宋"/>
          <w:b w:val="0"/>
          <w:color w:val="000000"/>
        </w:rPr>
        <w:t>一</w:t>
      </w:r>
      <w:r>
        <w:rPr>
          <w:rStyle w:val="15"/>
          <w:rFonts w:hint="eastAsia" w:ascii="仿宋" w:hAnsi="仿宋" w:eastAsia="仿宋"/>
          <w:b w:val="0"/>
          <w:bCs w:val="0"/>
        </w:rPr>
        <w:t>般公共预算财政拨款项目支出决算表</w:t>
      </w:r>
      <w:bookmarkEnd w:id="125"/>
      <w:bookmarkEnd w:id="126"/>
    </w:p>
    <w:p>
      <w:pPr>
        <w:pStyle w:val="3"/>
        <w:rPr>
          <w:rFonts w:ascii="仿宋" w:hAnsi="仿宋" w:eastAsia="仿宋"/>
          <w:color w:val="000000"/>
        </w:rPr>
      </w:pPr>
      <w:bookmarkStart w:id="127" w:name="_Toc15396628"/>
      <w:bookmarkStart w:id="128" w:name="_Toc18315"/>
      <w:r>
        <w:rPr>
          <w:rStyle w:val="15"/>
          <w:rFonts w:hint="eastAsia" w:ascii="仿宋" w:hAnsi="仿宋" w:eastAsia="仿宋"/>
          <w:b w:val="0"/>
          <w:bCs w:val="0"/>
        </w:rPr>
        <w:t>十、</w:t>
      </w:r>
      <w:r>
        <w:rPr>
          <w:rFonts w:hint="eastAsia" w:ascii="仿宋" w:hAnsi="仿宋" w:eastAsia="仿宋"/>
          <w:b w:val="0"/>
          <w:color w:val="000000"/>
        </w:rPr>
        <w:t>一</w:t>
      </w:r>
      <w:r>
        <w:rPr>
          <w:rStyle w:val="15"/>
          <w:rFonts w:hint="eastAsia" w:ascii="仿宋" w:hAnsi="仿宋" w:eastAsia="仿宋"/>
          <w:b w:val="0"/>
          <w:bCs w:val="0"/>
        </w:rPr>
        <w:t>般公共预算财政拨款“三公”经费支出决算表</w:t>
      </w:r>
      <w:bookmarkEnd w:id="127"/>
      <w:bookmarkEnd w:id="128"/>
    </w:p>
    <w:p>
      <w:pPr>
        <w:pStyle w:val="3"/>
        <w:rPr>
          <w:rFonts w:ascii="仿宋" w:hAnsi="仿宋" w:eastAsia="仿宋"/>
          <w:color w:val="000000"/>
        </w:rPr>
      </w:pPr>
      <w:bookmarkStart w:id="129" w:name="_Toc15396629"/>
      <w:bookmarkStart w:id="130" w:name="_Toc28"/>
      <w:r>
        <w:rPr>
          <w:rStyle w:val="15"/>
          <w:rFonts w:hint="eastAsia" w:ascii="仿宋" w:hAnsi="仿宋" w:eastAsia="仿宋"/>
          <w:b w:val="0"/>
          <w:bCs w:val="0"/>
        </w:rPr>
        <w:t>十一、</w:t>
      </w:r>
      <w:r>
        <w:rPr>
          <w:rFonts w:hint="eastAsia" w:ascii="仿宋" w:hAnsi="仿宋" w:eastAsia="仿宋"/>
          <w:b w:val="0"/>
          <w:color w:val="000000"/>
        </w:rPr>
        <w:t>政</w:t>
      </w:r>
      <w:r>
        <w:rPr>
          <w:rStyle w:val="15"/>
          <w:rFonts w:hint="eastAsia" w:ascii="仿宋" w:hAnsi="仿宋" w:eastAsia="仿宋"/>
          <w:b w:val="0"/>
          <w:bCs w:val="0"/>
        </w:rPr>
        <w:t>府性基金预算财政拨款收入支出决算表</w:t>
      </w:r>
      <w:bookmarkEnd w:id="129"/>
      <w:bookmarkEnd w:id="130"/>
    </w:p>
    <w:p>
      <w:pPr>
        <w:pStyle w:val="3"/>
        <w:rPr>
          <w:rFonts w:ascii="仿宋" w:hAnsi="仿宋" w:eastAsia="仿宋"/>
          <w:color w:val="000000"/>
        </w:rPr>
      </w:pPr>
      <w:bookmarkStart w:id="131" w:name="_Toc15396630"/>
      <w:bookmarkStart w:id="132" w:name="_Toc11307"/>
      <w:r>
        <w:rPr>
          <w:rStyle w:val="15"/>
          <w:rFonts w:hint="eastAsia" w:ascii="仿宋" w:hAnsi="仿宋" w:eastAsia="仿宋"/>
          <w:b w:val="0"/>
          <w:bCs w:val="0"/>
        </w:rPr>
        <w:t>十二、</w:t>
      </w:r>
      <w:r>
        <w:rPr>
          <w:rFonts w:hint="eastAsia" w:ascii="仿宋" w:hAnsi="仿宋" w:eastAsia="仿宋"/>
          <w:b w:val="0"/>
          <w:color w:val="000000"/>
        </w:rPr>
        <w:t>政</w:t>
      </w:r>
      <w:r>
        <w:rPr>
          <w:rStyle w:val="15"/>
          <w:rFonts w:hint="eastAsia" w:ascii="仿宋" w:hAnsi="仿宋" w:eastAsia="仿宋"/>
          <w:b w:val="0"/>
          <w:bCs w:val="0"/>
        </w:rPr>
        <w:t>府性基金预算财政拨款“三公”经费支出决算表</w:t>
      </w:r>
      <w:bookmarkEnd w:id="131"/>
      <w:bookmarkEnd w:id="132"/>
    </w:p>
    <w:p>
      <w:pPr>
        <w:pStyle w:val="3"/>
        <w:rPr>
          <w:rFonts w:ascii="仿宋" w:hAnsi="仿宋" w:eastAsia="仿宋"/>
          <w:color w:val="000000"/>
        </w:rPr>
      </w:pPr>
      <w:bookmarkStart w:id="133" w:name="_Toc15396631"/>
      <w:bookmarkStart w:id="134" w:name="_Toc2599"/>
      <w:r>
        <w:rPr>
          <w:rStyle w:val="15"/>
          <w:rFonts w:hint="eastAsia" w:ascii="仿宋" w:hAnsi="仿宋" w:eastAsia="仿宋"/>
          <w:b w:val="0"/>
          <w:bCs w:val="0"/>
        </w:rPr>
        <w:t>十三、</w:t>
      </w:r>
      <w:r>
        <w:rPr>
          <w:rFonts w:hint="eastAsia" w:ascii="仿宋" w:hAnsi="仿宋" w:eastAsia="仿宋"/>
          <w:b w:val="0"/>
          <w:color w:val="000000"/>
        </w:rPr>
        <w:t>国</w:t>
      </w:r>
      <w:r>
        <w:rPr>
          <w:rStyle w:val="15"/>
          <w:rFonts w:hint="eastAsia" w:ascii="仿宋" w:hAnsi="仿宋" w:eastAsia="仿宋"/>
          <w:b w:val="0"/>
          <w:bCs w:val="0"/>
        </w:rPr>
        <w:t>有资本经营预算财政拨款支出决算表</w:t>
      </w:r>
      <w:bookmarkEnd w:id="133"/>
      <w:bookmarkEnd w:id="134"/>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E8650"/>
    <w:multiLevelType w:val="singleLevel"/>
    <w:tmpl w:val="AFEE8650"/>
    <w:lvl w:ilvl="0" w:tentative="0">
      <w:start w:val="3"/>
      <w:numFmt w:val="chineseCounting"/>
      <w:lvlText w:val="(%1)"/>
      <w:lvlJc w:val="left"/>
      <w:pPr>
        <w:tabs>
          <w:tab w:val="left" w:pos="312"/>
        </w:tabs>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69A3E52"/>
    <w:multiLevelType w:val="singleLevel"/>
    <w:tmpl w:val="469A3E52"/>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MmVkMjZjM2Q2MGMxMzI1ZWRhN2EzMDNiNmI4Y2IifQ=="/>
  </w:docVars>
  <w:rsids>
    <w:rsidRoot w:val="6B325B2D"/>
    <w:rsid w:val="037E0802"/>
    <w:rsid w:val="06134339"/>
    <w:rsid w:val="0E69368D"/>
    <w:rsid w:val="0F9F6996"/>
    <w:rsid w:val="0FC41E12"/>
    <w:rsid w:val="119056EF"/>
    <w:rsid w:val="1699685D"/>
    <w:rsid w:val="174F1A82"/>
    <w:rsid w:val="18EF0550"/>
    <w:rsid w:val="22175667"/>
    <w:rsid w:val="2332572B"/>
    <w:rsid w:val="249D341D"/>
    <w:rsid w:val="2A801020"/>
    <w:rsid w:val="2AFC55D7"/>
    <w:rsid w:val="2C555F80"/>
    <w:rsid w:val="3A80620F"/>
    <w:rsid w:val="3B21451E"/>
    <w:rsid w:val="3E486F93"/>
    <w:rsid w:val="419723AD"/>
    <w:rsid w:val="42A22E1A"/>
    <w:rsid w:val="43F12418"/>
    <w:rsid w:val="47265033"/>
    <w:rsid w:val="49186631"/>
    <w:rsid w:val="49FA4890"/>
    <w:rsid w:val="4BD271FA"/>
    <w:rsid w:val="4DDD15A3"/>
    <w:rsid w:val="4F256A6B"/>
    <w:rsid w:val="4FB759E8"/>
    <w:rsid w:val="50B66EBC"/>
    <w:rsid w:val="53B32654"/>
    <w:rsid w:val="54820F50"/>
    <w:rsid w:val="557509A9"/>
    <w:rsid w:val="59AE7CDB"/>
    <w:rsid w:val="5C920133"/>
    <w:rsid w:val="68A90CCB"/>
    <w:rsid w:val="68BD5249"/>
    <w:rsid w:val="6955372A"/>
    <w:rsid w:val="6A2D1AA7"/>
    <w:rsid w:val="6B325B2D"/>
    <w:rsid w:val="6D734B9F"/>
    <w:rsid w:val="6DDA179A"/>
    <w:rsid w:val="7B654654"/>
    <w:rsid w:val="7DE16C7F"/>
    <w:rsid w:val="7EA22873"/>
    <w:rsid w:val="7F681630"/>
    <w:rsid w:val="7FB3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收、支决算总计变动图</a:t>
            </a:r>
          </a:p>
        </c:rich>
      </c:tx>
      <c:layout>
        <c:manualLayout>
          <c:xMode val="edge"/>
          <c:yMode val="edge"/>
          <c:x val="0.199399141630901"/>
          <c:y val="0.028544243577545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收、支决算总计变动情况图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plosion val="0"/>
          </c:dPt>
          <c:dPt>
            <c:idx val="1"/>
            <c:invertIfNegative val="0"/>
            <c:bubble3D val="0"/>
            <c:explosion val="7"/>
          </c:dPt>
          <c:dPt>
            <c:idx val="2"/>
            <c:invertIfNegative val="0"/>
            <c:bubble3D val="0"/>
            <c:explosion val="13"/>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lumMod val="85000"/>
                          </a:schemeClr>
                        </a:solidFill>
                        <a:latin typeface="+mn-lt"/>
                        <a:ea typeface="+mn-ea"/>
                        <a:cs typeface="+mn-cs"/>
                      </a:defRPr>
                    </a:pPr>
                    <a:r>
                      <a:rPr lang="en-US" altLang="zh-CN"/>
                      <a:t>7863.79</a:t>
                    </a:r>
                    <a:endParaRPr lang="en-US" altLang="zh-CN"/>
                  </a:p>
                </c:rich>
              </c:tx>
              <c:dLblPos val="ctr"/>
              <c:showLegendKey val="0"/>
              <c:showVal val="1"/>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1"/>
            <c:showCatName val="0"/>
            <c:showSerName val="0"/>
            <c:showPercent val="1"/>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Sheet1!$B$2:$B$5</c:f>
              <c:numCache>
                <c:formatCode>General</c:formatCode>
                <c:ptCount val="4"/>
                <c:pt idx="0">
                  <c:v>8107.77</c:v>
                </c:pt>
                <c:pt idx="1">
                  <c:v>9206</c:v>
                </c:pt>
              </c:numCache>
            </c:numRef>
          </c:val>
        </c:ser>
        <c:dLbls>
          <c:showLegendKey val="0"/>
          <c:showVal val="1"/>
          <c:showCatName val="0"/>
          <c:showSerName val="0"/>
          <c:showPercent val="1"/>
          <c:showBubbleSize val="0"/>
        </c:dLbls>
        <c:gapWidth val="100"/>
        <c:overlap val="-24"/>
        <c:axId val="568783503"/>
        <c:axId val="48304088"/>
      </c:barChart>
      <c:catAx>
        <c:axId val="568783503"/>
        <c:scaling>
          <c:orientation val="minMax"/>
        </c:scaling>
        <c:delete val="0"/>
        <c:axPos val="b"/>
        <c:majorTickMark val="out"/>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48304088"/>
        <c:crosses val="autoZero"/>
        <c:auto val="1"/>
        <c:lblAlgn val="ctr"/>
        <c:lblOffset val="100"/>
        <c:noMultiLvlLbl val="0"/>
      </c:catAx>
      <c:valAx>
        <c:axId val="483040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56878350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a:t>
            </a:r>
          </a:p>
        </c:rich>
      </c:tx>
      <c:layout>
        <c:manualLayout>
          <c:xMode val="edge"/>
          <c:yMode val="edge"/>
          <c:x val="0.321247892074199"/>
          <c:y val="0.0409283753431495"/>
        </c:manualLayout>
      </c:layout>
      <c:overlay val="0"/>
      <c:spPr>
        <a:noFill/>
        <a:ln>
          <a:noFill/>
        </a:ln>
        <a:effectLst/>
      </c:spPr>
    </c:title>
    <c:autoTitleDeleted val="0"/>
    <c:plotArea>
      <c:layout>
        <c:manualLayout>
          <c:layoutTarget val="inner"/>
          <c:xMode val="edge"/>
          <c:yMode val="edge"/>
          <c:x val="0.291995189095283"/>
          <c:y val="0.259432909131503"/>
          <c:w val="0.408926900975545"/>
          <c:h val="0.683188211654387"/>
        </c:manualLayout>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explosion val="1"/>
            <c:spPr>
              <a:solidFill>
                <a:schemeClr val="accent4"/>
              </a:solidFill>
              <a:ln>
                <a:noFill/>
              </a:ln>
              <a:effectLst>
                <a:outerShdw blurRad="254000" sx="102000" sy="102000" algn="ctr" rotWithShape="0">
                  <a:prstClr val="black">
                    <a:alpha val="20000"/>
                  </a:prstClr>
                </a:outerShdw>
              </a:effectLst>
            </c:spPr>
          </c:dPt>
          <c:dLbls>
            <c:dLbl>
              <c:idx val="0"/>
              <c:layout/>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eparator> </c:separator>
              <c:extLst>
                <c:ext xmlns:c15="http://schemas.microsoft.com/office/drawing/2012/chart" uri="{CE6537A1-D6FC-4f65-9D91-7224C49458BB}"/>
              </c:extLst>
            </c:dLbl>
            <c:dLbl>
              <c:idx val="2"/>
              <c:layout/>
              <c:dLblPos val="bestFit"/>
              <c:showLegendKey val="0"/>
              <c:showVal val="0"/>
              <c:showCatName val="0"/>
              <c:showSerName val="0"/>
              <c:showPercent val="1"/>
              <c:showBubbleSize val="0"/>
              <c:separator> </c:separator>
              <c:extLst>
                <c:ext xmlns:c15="http://schemas.microsoft.com/office/drawing/2012/chart" uri="{CE6537A1-D6FC-4f65-9D91-7224C49458BB}"/>
              </c:extLst>
            </c:dLbl>
            <c:dLbl>
              <c:idx val="3"/>
              <c:layout/>
              <c:dLblPos val="bestFit"/>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一般公共预算财政拨款收入</c:v>
                </c:pt>
                <c:pt idx="1">
                  <c:v>政府性基金预算财政拨款收入</c:v>
                </c:pt>
              </c:strCache>
            </c:strRef>
          </c:cat>
          <c:val>
            <c:numRef>
              <c:f>Sheet1!$B$2:$B$5</c:f>
              <c:numCache>
                <c:formatCode>General</c:formatCode>
                <c:ptCount val="4"/>
                <c:pt idx="0">
                  <c:v>2945.55</c:v>
                </c:pt>
                <c:pt idx="1">
                  <c:v>3820</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系列 1</c:v>
                      </c:pt>
                    </c:strCache>
                  </c:strRef>
                </c15:tx>
              </c15:filteredSeriesTitle>
            </c:ext>
          </c:extLst>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explosion val="1"/>
                  <c:spPr>
                    <a:solidFill>
                      <a:schemeClr val="accent4"/>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Sheet1!$A$2:$A$5</c15:sqref>
                        </c15:formulaRef>
                      </c:ext>
                    </c:extLst>
                    <c:strCache>
                      <c:ptCount val="4"/>
                      <c:pt idx="0">
                        <c:v>一般公共预算财政拨款收入</c:v>
                      </c:pt>
                      <c:pt idx="1">
                        <c:v>政府性基金预算财政拨款收入</c:v>
                      </c:pt>
                    </c:strCache>
                  </c:strRef>
                </c:cat>
                <c:val>
                  <c:numRef>
                    <c:extLst>
                      <c:ext uri="{02D57815-91ED-43cb-92C2-25804820EDAC}">
                        <c15:formulaRef>
                          <c15:sqref>Sheet1!$C$2:$C$5</c15:sqref>
                        </c15:formulaRef>
                      </c:ext>
                    </c:extLst>
                    <c:numCache>
                      <c:formatCode>General</c:formatCode>
                      <c:ptCount val="4"/>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系列 2</c:v>
                            </c:pt>
                          </c:strCache>
                        </c:strRef>
                      </c15:tx>
                    </c15:filteredSeriesTitle>
                  </c:ext>
                </c:extLst>
              </c15:ser>
            </c15:filteredPieSeries>
            <c15:filteredPieSeries>
              <c15:ser>
                <c:idx val="2"/>
                <c:order val="2"/>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explosion val="1"/>
                  <c:spPr>
                    <a:solidFill>
                      <a:schemeClr val="accent4"/>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Sheet1!$A$2:$A$5</c15:sqref>
                        </c15:formulaRef>
                      </c:ext>
                    </c:extLst>
                    <c:strCache>
                      <c:ptCount val="4"/>
                      <c:pt idx="0">
                        <c:v>一般公共预算财政拨款收入</c:v>
                      </c:pt>
                      <c:pt idx="1">
                        <c:v>政府性基金预算财政拨款收入</c:v>
                      </c:pt>
                    </c:strCache>
                  </c:strRef>
                </c:cat>
                <c:val>
                  <c:numRef>
                    <c:extLst>
                      <c:ext uri="{02D57815-91ED-43cb-92C2-25804820EDAC}">
                        <c15:formulaRef>
                          <c15:sqref>Sheet1!$D$2:$D$5</c15:sqref>
                        </c15:formulaRef>
                      </c:ext>
                    </c:extLst>
                    <c:numCache>
                      <c:formatCode>General</c:formatCode>
                      <c:ptCount val="4"/>
                    </c:numCache>
                  </c:numRef>
                </c:val>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系列 3</c:v>
                            </c:pt>
                          </c:strCache>
                        </c:strRef>
                      </c15:tx>
                    </c15:filteredSeriesTitle>
                  </c:ext>
                </c:extLst>
              </c15:ser>
            </c15:filteredPieSeries>
          </c:ext>
        </c:extLst>
      </c:pieChart>
      <c:spPr>
        <a:noFill/>
        <a:ln>
          <a:noFill/>
        </a:ln>
        <a:effectLst/>
      </c:spPr>
    </c:plotArea>
    <c:legend>
      <c:legendPos val="r"/>
      <c:legendEntry>
        <c:idx val="2"/>
        <c:delete val="1"/>
      </c:legendEntry>
      <c:legendEntry>
        <c:idx val="3"/>
        <c:delete val="1"/>
      </c:legendEntry>
      <c:layout>
        <c:manualLayout>
          <c:xMode val="edge"/>
          <c:yMode val="edge"/>
          <c:x val="0.676222596964587"/>
          <c:y val="0.192662840029948"/>
          <c:w val="0.31956155143339"/>
          <c:h val="0.328175692538058"/>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manualLayout>
          <c:xMode val="edge"/>
          <c:yMode val="edge"/>
          <c:x val="0.245114698385727"/>
          <c:y val="0.0386426001585462"/>
        </c:manualLayout>
      </c:layout>
      <c:overlay val="0"/>
      <c:spPr>
        <a:noFill/>
        <a:ln>
          <a:noFill/>
        </a:ln>
        <a:effectLst/>
      </c:spPr>
    </c:title>
    <c:autoTitleDeleted val="0"/>
    <c:plotArea>
      <c:layout>
        <c:manualLayout>
          <c:layoutTarget val="inner"/>
          <c:xMode val="edge"/>
          <c:yMode val="edge"/>
          <c:x val="0.264962972936583"/>
          <c:y val="0.219845644983462"/>
          <c:w val="0.409048067860509"/>
          <c:h val="0.669900771775083"/>
        </c:manualLayout>
      </c:layout>
      <c:pieChart>
        <c:varyColors val="1"/>
        <c:ser>
          <c:idx val="0"/>
          <c:order val="0"/>
          <c:tx>
            <c:strRef>
              <c:f>Sheet1!$B$1</c:f>
              <c:strCache>
                <c:ptCount val="1"/>
                <c:pt idx="0">
                  <c:v>系列 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2344.32</c:v>
                </c:pt>
                <c:pt idx="1">
                  <c:v>5055.06</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系列 2</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基本支出</c:v>
                      </c:pt>
                      <c:pt idx="1">
                        <c:v>项目支出</c:v>
                      </c:pt>
                    </c:strCache>
                  </c:strRef>
                </c:cat>
                <c:val>
                  <c:numRef>
                    <c:extLst>
                      <c:ext uri="{02D57815-91ED-43cb-92C2-25804820EDAC}">
                        <c15:fullRef>
                          <c15:sqref>Sheet1!$C$2:$C$5</c15:sqref>
                        </c15:fullRef>
                        <c15:formulaRef>
                          <c15:sqref>Sheet1!$C$2:$C$3</c15:sqref>
                        </c15:formulaRef>
                      </c:ext>
                    </c:extLst>
                    <c:numCache>
                      <c:formatCode>General</c:formatCode>
                      <c:ptCount val="2"/>
                    </c:numCache>
                  </c:numRef>
                </c:val>
              </c15:ser>
            </c15:filteredPieSeries>
            <c15:filteredPieSeries>
              <c15:ser>
                <c:idx val="2"/>
                <c:order val="2"/>
                <c:tx>
                  <c:strRef>
                    <c:extLst>
                      <c:ext uri="{02D57815-91ED-43cb-92C2-25804820EDAC}">
                        <c15:formulaRef>
                          <c15:sqref>Sheet1!$D$1</c15:sqref>
                        </c15:formulaRef>
                      </c:ext>
                    </c:extLst>
                    <c:strCache>
                      <c:ptCount val="1"/>
                      <c:pt idx="0">
                        <c:v>系列 3</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基本支出</c:v>
                      </c:pt>
                      <c:pt idx="1">
                        <c:v>项目支出</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PieSeries>
          </c:ext>
        </c:extLst>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财政拨款收支决算总计变动情况</a:t>
            </a:r>
          </a:p>
        </c:rich>
      </c:tx>
      <c:layout>
        <c:manualLayout>
          <c:xMode val="edge"/>
          <c:yMode val="edge"/>
          <c:x val="0.124145516611166"/>
          <c:y val="0.026729887829188"/>
        </c:manualLayout>
      </c:layout>
      <c:overlay val="0"/>
      <c:spPr>
        <a:noFill/>
        <a:ln>
          <a:noFill/>
        </a:ln>
        <a:effectLst/>
      </c:spPr>
    </c:title>
    <c:autoTitleDeleted val="0"/>
    <c:plotArea>
      <c:layout>
        <c:manualLayout>
          <c:layoutTarget val="inner"/>
          <c:xMode val="edge"/>
          <c:yMode val="edge"/>
          <c:x val="0.131063969741819"/>
          <c:y val="0.161417322834646"/>
          <c:w val="0.730307515211314"/>
          <c:h val="0.608503937007874"/>
        </c:manualLayout>
      </c:layout>
      <c:barChart>
        <c:barDir val="col"/>
        <c:grouping val="clustered"/>
        <c:varyColors val="0"/>
        <c:ser>
          <c:idx val="0"/>
          <c:order val="0"/>
          <c:tx>
            <c:strRef>
              <c:f>Sheet1!$B$1</c:f>
              <c:strCache>
                <c:ptCount val="1"/>
                <c:pt idx="0">
                  <c:v>系列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lumMod val="85000"/>
                          </a:schemeClr>
                        </a:solidFill>
                        <a:latin typeface="+mn-lt"/>
                        <a:ea typeface="+mn-ea"/>
                        <a:cs typeface="+mn-cs"/>
                      </a:defRPr>
                    </a:pPr>
                    <a:r>
                      <a:t>7863.7</a:t>
                    </a:r>
                    <a:r>
                      <a:rPr lang="en-US" altLang="zh-CN"/>
                      <a:t>9</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0.00279559283012662"/>
                  <c:y val="0.0194835680751174"/>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Sheet1!$B$2:$B$5</c:f>
              <c:numCache>
                <c:formatCode>General</c:formatCode>
                <c:ptCount val="4"/>
                <c:pt idx="0">
                  <c:v>7863.78</c:v>
                </c:pt>
                <c:pt idx="1">
                  <c:v>9206</c:v>
                </c:pt>
              </c:numCache>
            </c:numRef>
          </c:val>
        </c:ser>
        <c:ser>
          <c:idx val="1"/>
          <c:order val="1"/>
          <c:tx>
            <c:strRef>
              <c:f>Sheet1!$C$1</c:f>
              <c:strCache>
                <c:ptCount val="1"/>
                <c:pt idx="0">
                  <c:v>系列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Sheet1!$C$2:$C$5</c:f>
              <c:numCache>
                <c:formatCode>General</c:formatCode>
                <c:ptCount val="4"/>
              </c:numCache>
            </c:numRef>
          </c:val>
        </c:ser>
        <c:ser>
          <c:idx val="2"/>
          <c:order val="2"/>
          <c:tx>
            <c:strRef>
              <c:f>Sheet1!$D$1</c:f>
              <c:strCache>
                <c:ptCount val="1"/>
                <c:pt idx="0">
                  <c:v>系列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Sheet1!$D$2:$D$5</c:f>
              <c:numCache>
                <c:formatCode>General</c:formatCode>
                <c:ptCount val="4"/>
              </c:numCache>
            </c:numRef>
          </c:val>
        </c:ser>
        <c:dLbls>
          <c:showLegendKey val="0"/>
          <c:showVal val="1"/>
          <c:showCatName val="0"/>
          <c:showSerName val="0"/>
          <c:showPercent val="0"/>
          <c:showBubbleSize val="0"/>
        </c:dLbls>
        <c:gapWidth val="100"/>
        <c:overlap val="-24"/>
        <c:axId val="436636436"/>
        <c:axId val="503413594"/>
      </c:barChart>
      <c:catAx>
        <c:axId val="4366364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503413594"/>
        <c:crosses val="autoZero"/>
        <c:auto val="1"/>
        <c:lblAlgn val="ctr"/>
        <c:lblOffset val="100"/>
        <c:noMultiLvlLbl val="0"/>
      </c:catAx>
      <c:valAx>
        <c:axId val="50341359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4366364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566533093823411"/>
          <c:y val="0.242035949457198"/>
          <c:w val="0.939201326516512"/>
          <c:h val="0.68435664709023"/>
        </c:manualLayout>
      </c:layout>
      <c:barChart>
        <c:barDir val="col"/>
        <c:grouping val="clustered"/>
        <c:varyColors val="0"/>
        <c:ser>
          <c:idx val="0"/>
          <c:order val="0"/>
          <c:tx>
            <c:strRef>
              <c:f>Sheet1!$B$1</c:f>
              <c:strCache>
                <c:ptCount val="1"/>
                <c:pt idx="0">
                  <c:v>系列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lt1">
                            <a:lumMod val="85000"/>
                          </a:schemeClr>
                        </a:solidFill>
                        <a:latin typeface="+mn-lt"/>
                        <a:ea typeface="+mn-ea"/>
                        <a:cs typeface="+mn-cs"/>
                      </a:defRPr>
                    </a:pPr>
                    <a:r>
                      <a:rPr lang="en-US" altLang="zh-CN"/>
                      <a:t>3560.46</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Sheet1!$B$2:$B$5</c:f>
              <c:numCache>
                <c:formatCode>General</c:formatCode>
                <c:ptCount val="4"/>
                <c:pt idx="0">
                  <c:v>3113.97</c:v>
                </c:pt>
                <c:pt idx="1">
                  <c:v>3974.26</c:v>
                </c:pt>
              </c:numCache>
            </c:numRef>
          </c:val>
        </c:ser>
        <c:ser>
          <c:idx val="1"/>
          <c:order val="1"/>
          <c:tx>
            <c:strRef>
              <c:f>Sheet1!$C$1</c:f>
              <c:strCache>
                <c:ptCount val="1"/>
                <c:pt idx="0">
                  <c:v>系列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Sheet1!$C$2:$C$5</c:f>
              <c:numCache>
                <c:formatCode>General</c:formatCode>
                <c:ptCount val="4"/>
              </c:numCache>
            </c:numRef>
          </c:val>
        </c:ser>
        <c:ser>
          <c:idx val="2"/>
          <c:order val="2"/>
          <c:tx>
            <c:strRef>
              <c:f>Sheet1!$D$1</c:f>
              <c:strCache>
                <c:ptCount val="1"/>
                <c:pt idx="0">
                  <c:v>系列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Sheet1!$D$2:$D$5</c:f>
              <c:numCache>
                <c:formatCode>General</c:formatCode>
                <c:ptCount val="4"/>
              </c:numCache>
            </c:numRef>
          </c:val>
        </c:ser>
        <c:dLbls>
          <c:showLegendKey val="0"/>
          <c:showVal val="1"/>
          <c:showCatName val="0"/>
          <c:showSerName val="0"/>
          <c:showPercent val="0"/>
          <c:showBubbleSize val="0"/>
        </c:dLbls>
        <c:gapWidth val="100"/>
        <c:overlap val="-24"/>
        <c:axId val="403493335"/>
        <c:axId val="743674804"/>
      </c:barChart>
      <c:catAx>
        <c:axId val="403493335"/>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743674804"/>
        <c:crosses val="autoZero"/>
        <c:auto val="1"/>
        <c:lblAlgn val="ctr"/>
        <c:lblOffset val="100"/>
        <c:noMultiLvlLbl val="0"/>
      </c:catAx>
      <c:valAx>
        <c:axId val="7436748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40349333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manualLayout>
          <c:xMode val="edge"/>
          <c:yMode val="edge"/>
          <c:x val="0.131"/>
          <c:y val="0.0175"/>
        </c:manualLayout>
      </c:layout>
      <c:overlay val="0"/>
      <c:spPr>
        <a:noFill/>
        <a:ln>
          <a:noFill/>
        </a:ln>
        <a:effectLst/>
      </c:spPr>
    </c:title>
    <c:autoTitleDeleted val="0"/>
    <c:plotArea>
      <c:layout>
        <c:manualLayout>
          <c:layoutTarget val="inner"/>
          <c:xMode val="edge"/>
          <c:yMode val="edge"/>
          <c:x val="0.083625"/>
          <c:y val="0.131833333333333"/>
          <c:w val="0.61525"/>
          <c:h val="0.820333333333333"/>
        </c:manualLayout>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explosion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Sheet1!$A$2:$A$8</c:f>
              <c:strCache>
                <c:ptCount val="7"/>
                <c:pt idx="0">
                  <c:v>教育支出</c:v>
                </c:pt>
                <c:pt idx="1">
                  <c:v>社会保障和就业</c:v>
                </c:pt>
                <c:pt idx="2">
                  <c:v>卫生健康支出</c:v>
                </c:pt>
                <c:pt idx="3">
                  <c:v>住房保障支出</c:v>
                </c:pt>
                <c:pt idx="4">
                  <c:v>节能环保支出</c:v>
                </c:pt>
                <c:pt idx="5">
                  <c:v>城乡社区支出</c:v>
                </c:pt>
                <c:pt idx="6">
                  <c:v>农林水支出</c:v>
                </c:pt>
              </c:strCache>
            </c:strRef>
          </c:cat>
          <c:val>
            <c:numRef>
              <c:f>Sheet1!$B$2:$B$8</c:f>
              <c:numCache>
                <c:formatCode>General</c:formatCode>
                <c:ptCount val="7"/>
                <c:pt idx="0">
                  <c:v>17</c:v>
                </c:pt>
                <c:pt idx="1">
                  <c:v>157.7</c:v>
                </c:pt>
                <c:pt idx="2">
                  <c:v>104.03</c:v>
                </c:pt>
                <c:pt idx="3">
                  <c:v>167.42</c:v>
                </c:pt>
                <c:pt idx="4">
                  <c:v>494.5</c:v>
                </c:pt>
                <c:pt idx="5">
                  <c:v>2619.26</c:v>
                </c:pt>
                <c:pt idx="6">
                  <c:v>0.57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三公经费财政拨款支出结构</a:t>
            </a:r>
          </a:p>
        </c:rich>
      </c:tx>
      <c:layout>
        <c:manualLayout>
          <c:xMode val="edge"/>
          <c:yMode val="edge"/>
          <c:x val="0.129910540645663"/>
          <c:y val="0.0476812540822992"/>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因公出国（境）费支</c:v>
                </c:pt>
                <c:pt idx="1">
                  <c:v>公务用车购置及运行维护费支出</c:v>
                </c:pt>
                <c:pt idx="2">
                  <c:v>公务接待费支出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0</c:v>
                </c:pt>
                <c:pt idx="1">
                  <c:v>64.27</c:v>
                </c:pt>
                <c:pt idx="2">
                  <c:v>1.12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17086</Words>
  <Characters>18375</Characters>
  <Lines>0</Lines>
  <Paragraphs>0</Paragraphs>
  <TotalTime>2</TotalTime>
  <ScaleCrop>false</ScaleCrop>
  <LinksUpToDate>false</LinksUpToDate>
  <CharactersWithSpaces>18513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2021-09-02T07:00:00Z</dcterms:created>
  <dc:creator>Administrator</dc:creator>
  <cp:lastModifiedBy>罗钦文</cp:lastModifiedBy>
  <cp:lastPrinted>2021-09-16T04:59:00Z</cp:lastPrinted>
  <dcterms:modified xsi:type="dcterms:W3CDTF">2022-08-10T11:12:09Z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683317D1FF5B448F93207196FE2BE8E9</vt:lpwstr>
  </property>
</Properties>
</file>