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8441"/>
      <w:bookmarkStart w:id="3" w:name="_Toc20925"/>
      <w:bookmarkStart w:id="4" w:name="_Toc15396597"/>
      <w:bookmarkStart w:id="5" w:name="_Toc15396475"/>
      <w:bookmarkStart w:id="6" w:name="_Toc15377425"/>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bookmarkEnd w:id="0"/>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7" w:name="_Toc907"/>
      <w:bookmarkStart w:id="8" w:name="_Toc15396598"/>
      <w:bookmarkStart w:id="9" w:name="_Toc15377426"/>
      <w:bookmarkStart w:id="10" w:name="_Toc15378442"/>
      <w:bookmarkStart w:id="11" w:name="_Toc15306268"/>
      <w:bookmarkStart w:id="12" w:name="_Toc15377194"/>
      <w:bookmarkStart w:id="13" w:name="_Toc15396476"/>
      <w:r>
        <w:rPr>
          <w:rFonts w:hint="eastAsia" w:ascii="方正小标宋简体" w:hAnsi="宋体" w:eastAsia="方正小标宋简体"/>
          <w:color w:val="000000"/>
          <w:sz w:val="72"/>
          <w:szCs w:val="72"/>
          <w:lang w:eastAsia="zh-CN"/>
        </w:rPr>
        <w:t>巴中市城管执法局</w:t>
      </w:r>
      <w:bookmarkEnd w:id="7"/>
    </w:p>
    <w:p>
      <w:pPr>
        <w:adjustRightInd w:val="0"/>
        <w:snapToGrid w:val="0"/>
        <w:spacing w:line="360" w:lineRule="auto"/>
        <w:jc w:val="center"/>
        <w:outlineLvl w:val="0"/>
        <w:rPr>
          <w:rFonts w:ascii="方正小标宋简体" w:hAnsi="宋体" w:eastAsia="方正小标宋简体"/>
          <w:color w:val="000000"/>
          <w:sz w:val="72"/>
          <w:szCs w:val="72"/>
        </w:rPr>
      </w:pPr>
      <w:bookmarkStart w:id="14" w:name="_Toc16093"/>
      <w:r>
        <w:rPr>
          <w:rFonts w:hint="eastAsia" w:ascii="方正小标宋简体" w:hAnsi="宋体" w:eastAsia="方正小标宋简体"/>
          <w:color w:val="000000"/>
          <w:sz w:val="72"/>
          <w:szCs w:val="72"/>
          <w:lang w:eastAsia="zh-CN"/>
        </w:rPr>
        <w:t>部门</w:t>
      </w:r>
      <w:r>
        <w:rPr>
          <w:rFonts w:hint="eastAsia" w:ascii="方正小标宋简体" w:hAnsi="宋体" w:eastAsia="方正小标宋简体"/>
          <w:color w:val="000000"/>
          <w:sz w:val="72"/>
          <w:szCs w:val="72"/>
        </w:rPr>
        <w:t>决算</w:t>
      </w:r>
      <w:bookmarkEnd w:id="8"/>
      <w:bookmarkEnd w:id="9"/>
      <w:bookmarkEnd w:id="10"/>
      <w:bookmarkEnd w:id="11"/>
      <w:bookmarkEnd w:id="12"/>
      <w:bookmarkEnd w:id="13"/>
      <w:bookmarkEnd w:id="14"/>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8"/>
      </w:pPr>
      <w:r>
        <w:rPr>
          <w:rFonts w:hint="eastAsia"/>
        </w:rPr>
        <w:t>公开时间：</w:t>
      </w:r>
      <w:r>
        <w:t>2021</w:t>
      </w:r>
      <w:r>
        <w:rPr>
          <w:rFonts w:hint="eastAsia"/>
        </w:rPr>
        <w:t>年</w:t>
      </w:r>
      <w:r>
        <w:rPr>
          <w:rFonts w:hint="eastAsia"/>
          <w:lang w:val="en-US" w:eastAsia="zh-CN"/>
        </w:rPr>
        <w:t>9</w:t>
      </w:r>
      <w:r>
        <w:rPr>
          <w:rFonts w:hint="eastAsia"/>
        </w:rPr>
        <w:t>月</w:t>
      </w:r>
      <w:r>
        <w:rPr>
          <w:rFonts w:hint="eastAsia"/>
          <w:lang w:val="en-US" w:eastAsia="zh-CN"/>
        </w:rPr>
        <w:t>15</w:t>
      </w:r>
      <w:r>
        <w:rPr>
          <w:rFonts w:hint="eastAsia"/>
        </w:rPr>
        <w:t>日</w:t>
      </w:r>
    </w:p>
    <w:p/>
    <w:sdt>
      <w:sdtPr>
        <w:rPr>
          <w:rFonts w:ascii="宋体" w:hAnsi="宋体" w:eastAsia="宋体" w:cs="Times New Roman"/>
          <w:kern w:val="2"/>
          <w:sz w:val="21"/>
          <w:szCs w:val="24"/>
          <w:lang w:val="en-US" w:eastAsia="zh-CN" w:bidi="ar-SA"/>
        </w:rPr>
        <w:id w:val="147475279"/>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15" w:name="_Toc15377196"/>
          <w:bookmarkStart w:id="16" w:name="_Toc15396599"/>
          <w:r>
            <w:fldChar w:fldCharType="begin"/>
          </w:r>
          <w:r>
            <w:instrText xml:space="preserve">TOC \o "1-3" \h \u </w:instrText>
          </w:r>
          <w:r>
            <w:fldChar w:fldCharType="separate"/>
          </w:r>
        </w:p>
        <w:p>
          <w:pPr>
            <w:pStyle w:val="8"/>
            <w:tabs>
              <w:tab w:val="right" w:leader="dot" w:pos="8306"/>
              <w:tab w:val="clear" w:pos="8296"/>
            </w:tabs>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_Toc12771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bCs/>
              <w:color w:val="000000"/>
              <w:kern w:val="0"/>
              <w:sz w:val="32"/>
              <w:szCs w:val="32"/>
              <w:lang w:val="en-US" w:eastAsia="zh-CN" w:bidi="ar-SA"/>
            </w:rPr>
            <w:t>第一部分 部门概况</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_Toc12771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4</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_Toc25678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一、基本职能及主要工作</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_Toc25678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4</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_Toc28326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二、机构设置</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_Toc28326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6</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8"/>
            <w:tabs>
              <w:tab w:val="right" w:leader="dot" w:pos="8306"/>
              <w:tab w:val="clear" w:pos="8296"/>
            </w:tabs>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_Toc5901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bCs/>
              <w:color w:val="000000"/>
              <w:kern w:val="0"/>
              <w:sz w:val="32"/>
              <w:szCs w:val="32"/>
              <w:lang w:val="en-US" w:eastAsia="zh-CN" w:bidi="ar-SA"/>
            </w:rPr>
            <w:t>第二部分 2020年度部门决算情况说明</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_Toc5901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7</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_Toc8601 </w:instrText>
          </w:r>
          <w:r>
            <w:rPr>
              <w:rFonts w:hint="eastAsia" w:ascii="仿宋" w:hAnsi="仿宋" w:eastAsia="仿宋" w:cs="Times New Roman"/>
              <w:b w:val="0"/>
              <w:bCs w:val="0"/>
              <w:color w:val="000000"/>
              <w:kern w:val="0"/>
              <w:sz w:val="32"/>
              <w:szCs w:val="32"/>
              <w:lang w:val="en-US" w:eastAsia="zh-CN" w:bidi="ar-SA"/>
            </w:rPr>
            <w:fldChar w:fldCharType="separate"/>
          </w:r>
          <w:r>
            <w:rPr>
              <w:rFonts w:hint="default" w:ascii="仿宋" w:hAnsi="仿宋" w:eastAsia="仿宋" w:cs="Times New Roman"/>
              <w:b w:val="0"/>
              <w:bCs w:val="0"/>
              <w:color w:val="000000"/>
              <w:kern w:val="0"/>
              <w:sz w:val="32"/>
              <w:szCs w:val="32"/>
              <w:lang w:val="en-US" w:eastAsia="zh-CN" w:bidi="ar-SA"/>
            </w:rPr>
            <w:t xml:space="preserve">一、 </w:t>
          </w:r>
          <w:r>
            <w:rPr>
              <w:rFonts w:hint="eastAsia" w:ascii="仿宋" w:hAnsi="仿宋" w:eastAsia="仿宋" w:cs="Times New Roman"/>
              <w:b w:val="0"/>
              <w:bCs w:val="0"/>
              <w:color w:val="000000"/>
              <w:kern w:val="0"/>
              <w:sz w:val="32"/>
              <w:szCs w:val="32"/>
              <w:lang w:val="en-US" w:eastAsia="zh-CN" w:bidi="ar-SA"/>
            </w:rPr>
            <w:t>收入支出决算总体情况说明</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_Toc8601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7</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_Toc10111 </w:instrText>
          </w:r>
          <w:r>
            <w:rPr>
              <w:rFonts w:hint="eastAsia" w:ascii="仿宋" w:hAnsi="仿宋" w:eastAsia="仿宋" w:cs="Times New Roman"/>
              <w:b w:val="0"/>
              <w:bCs w:val="0"/>
              <w:color w:val="000000"/>
              <w:kern w:val="0"/>
              <w:sz w:val="32"/>
              <w:szCs w:val="32"/>
              <w:lang w:val="en-US" w:eastAsia="zh-CN" w:bidi="ar-SA"/>
            </w:rPr>
            <w:fldChar w:fldCharType="separate"/>
          </w:r>
          <w:r>
            <w:rPr>
              <w:rFonts w:hint="default" w:ascii="仿宋" w:hAnsi="仿宋" w:eastAsia="仿宋" w:cs="Times New Roman"/>
              <w:b w:val="0"/>
              <w:bCs w:val="0"/>
              <w:color w:val="000000"/>
              <w:kern w:val="0"/>
              <w:sz w:val="32"/>
              <w:szCs w:val="32"/>
              <w:lang w:val="en-US" w:eastAsia="zh-CN" w:bidi="ar-SA"/>
            </w:rPr>
            <w:t xml:space="preserve">二、 </w:t>
          </w:r>
          <w:r>
            <w:rPr>
              <w:rFonts w:hint="eastAsia" w:ascii="仿宋" w:hAnsi="仿宋" w:eastAsia="仿宋" w:cs="Times New Roman"/>
              <w:b w:val="0"/>
              <w:bCs w:val="0"/>
              <w:color w:val="000000"/>
              <w:kern w:val="0"/>
              <w:sz w:val="32"/>
              <w:szCs w:val="32"/>
              <w:lang w:val="en-US" w:eastAsia="zh-CN" w:bidi="ar-SA"/>
            </w:rPr>
            <w:t>收入决算情况说明</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_Toc10111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7</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_Toc7308 </w:instrText>
          </w:r>
          <w:r>
            <w:rPr>
              <w:rFonts w:hint="eastAsia" w:ascii="仿宋" w:hAnsi="仿宋" w:eastAsia="仿宋" w:cs="Times New Roman"/>
              <w:b w:val="0"/>
              <w:bCs w:val="0"/>
              <w:color w:val="000000"/>
              <w:kern w:val="0"/>
              <w:sz w:val="32"/>
              <w:szCs w:val="32"/>
              <w:lang w:val="en-US" w:eastAsia="zh-CN" w:bidi="ar-SA"/>
            </w:rPr>
            <w:fldChar w:fldCharType="separate"/>
          </w:r>
          <w:r>
            <w:rPr>
              <w:rFonts w:hint="default" w:ascii="仿宋" w:hAnsi="仿宋" w:eastAsia="仿宋" w:cs="Times New Roman"/>
              <w:b w:val="0"/>
              <w:bCs w:val="0"/>
              <w:color w:val="000000"/>
              <w:kern w:val="0"/>
              <w:sz w:val="32"/>
              <w:szCs w:val="32"/>
              <w:lang w:val="en-US" w:eastAsia="zh-CN" w:bidi="ar-SA"/>
            </w:rPr>
            <w:t xml:space="preserve">三、 </w:t>
          </w:r>
          <w:r>
            <w:rPr>
              <w:rFonts w:hint="eastAsia" w:ascii="仿宋" w:hAnsi="仿宋" w:eastAsia="仿宋" w:cs="Times New Roman"/>
              <w:b w:val="0"/>
              <w:bCs w:val="0"/>
              <w:color w:val="000000"/>
              <w:kern w:val="0"/>
              <w:sz w:val="32"/>
              <w:szCs w:val="32"/>
              <w:lang w:val="en-US" w:eastAsia="zh-CN" w:bidi="ar-SA"/>
            </w:rPr>
            <w:t>支出决算情况说明</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_Toc7308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7</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_Toc30151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四、财政拨款收入支出决算总体情况说明</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_Toc30151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8</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_Toc11314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五、一般公共预算财政拨款支出决算情况说明</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_Toc11314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8</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_Toc14789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六、一般公共预算财政拨款基本支出决算情况说明</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_Toc14789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11</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_Toc23018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七、“三公”经费财政拨款支出决算情况说明</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_Toc23018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11</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_Toc3614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八、政府性基金预算支出决算情况说明</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_Toc3614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13</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_Toc24316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九、 国有资本经营预算支出决算情况说明</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_Toc24316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13</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_Toc12436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十、其他重要事项的情况说明</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_Toc12436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13</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8"/>
            <w:tabs>
              <w:tab w:val="right" w:leader="dot" w:pos="8306"/>
              <w:tab w:val="clear" w:pos="8296"/>
            </w:tabs>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_Toc9822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bCs/>
              <w:color w:val="000000"/>
              <w:kern w:val="0"/>
              <w:sz w:val="32"/>
              <w:szCs w:val="32"/>
              <w:lang w:val="en-US" w:eastAsia="zh-CN" w:bidi="ar-SA"/>
            </w:rPr>
            <w:t>第三部分 名词解释</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_Toc9822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27</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19"/>
            <w:tabs>
              <w:tab w:val="right" w:leader="dot" w:pos="8306"/>
            </w:tabs>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_Toc17071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bCs/>
              <w:color w:val="000000"/>
              <w:kern w:val="0"/>
              <w:sz w:val="32"/>
              <w:szCs w:val="32"/>
              <w:lang w:val="en-US" w:eastAsia="zh-CN" w:bidi="ar-SA"/>
            </w:rPr>
            <w:t>第四部分 附件</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t>2</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t>5</w:t>
          </w:r>
        </w:p>
        <w:p>
          <w:pPr>
            <w:pStyle w:val="19"/>
            <w:tabs>
              <w:tab w:val="right" w:leader="dot" w:pos="8306"/>
            </w:tabs>
            <w:ind w:firstLine="640" w:firstLineChars="2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_Toc18664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附件1</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t>2</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t>5</w:t>
          </w:r>
        </w:p>
        <w:p>
          <w:pPr>
            <w:pStyle w:val="8"/>
            <w:tabs>
              <w:tab w:val="right" w:leader="dot" w:pos="8306"/>
              <w:tab w:val="clear" w:pos="8296"/>
            </w:tabs>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t xml:space="preserve">    </w:t>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_Toc383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附件2</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t>3</w:t>
          </w:r>
          <w:r>
            <w:rPr>
              <w:rFonts w:hint="eastAsia" w:ascii="仿宋" w:hAnsi="仿宋" w:eastAsia="仿宋" w:cs="Times New Roman"/>
              <w:b w:val="0"/>
              <w:bCs w:val="0"/>
              <w:color w:val="000000"/>
              <w:kern w:val="0"/>
              <w:sz w:val="32"/>
              <w:szCs w:val="32"/>
              <w:lang w:val="en-US" w:eastAsia="zh-CN" w:bidi="ar-SA"/>
            </w:rPr>
            <w:fldChar w:fldCharType="end"/>
          </w:r>
          <w:r>
            <w:rPr>
              <w:rFonts w:hint="eastAsia" w:cs="Times New Roman"/>
              <w:b w:val="0"/>
              <w:bCs w:val="0"/>
              <w:color w:val="000000"/>
              <w:kern w:val="0"/>
              <w:sz w:val="32"/>
              <w:szCs w:val="32"/>
              <w:lang w:val="en-US" w:eastAsia="zh-CN" w:bidi="ar-SA"/>
            </w:rPr>
            <w:t>6</w:t>
          </w:r>
        </w:p>
        <w:p>
          <w:pPr>
            <w:pStyle w:val="8"/>
            <w:tabs>
              <w:tab w:val="right" w:leader="dot" w:pos="8306"/>
              <w:tab w:val="clear" w:pos="8296"/>
            </w:tabs>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_Toc9714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bCs/>
              <w:color w:val="000000"/>
              <w:kern w:val="0"/>
              <w:sz w:val="32"/>
              <w:szCs w:val="32"/>
              <w:lang w:val="en-US" w:eastAsia="zh-CN" w:bidi="ar-SA"/>
            </w:rPr>
            <w:t>第五部分 附表</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_Toc9714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46</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_Toc6423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一、收入支出决算总表</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_Toc6423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46</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_Toc22572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二、收入决算表</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_Toc22572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46</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_Toc26313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三、支出决算表</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_Toc26313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46</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_Toc22286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四、财政拨款收入支出决算总表</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_Toc22286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46</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_Toc29406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五、财政拨款支出决算明细表</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_Toc29406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46</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_Toc22214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六、一般公共预算财政拨款支出决算表</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_Toc22214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46</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_Toc19832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七、一般公共预算财政拨款支出决算明细表</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_Toc19832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46</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_Toc26835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八、一般公共预算财政拨款基本支出决算表</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_Toc26835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46</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_Toc9307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九、一般公共预算财政拨款项目支出决算表</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_Toc9307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46</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_Toc25895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十、一般公共预算财政拨款“三公”经费支出决算表</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_Toc25895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46</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_Toc13318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十一、政府性基金预算财政拨款收入支出决算表</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_Toc13318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46</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_Toc4431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十二、政府性基金预算财政拨款“三公”经费支出决算表</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_Toc4431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46</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pPr>
            <w:pStyle w:val="9"/>
            <w:tabs>
              <w:tab w:val="right" w:leader="dot" w:pos="8306"/>
              <w:tab w:val="clear" w:pos="8296"/>
            </w:tabs>
            <w:ind w:firstLine="320" w:firstLineChars="10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HYPERLINK \l _Toc25271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十三、国有资本经营预算财政拨款支出决算表</w:t>
          </w:r>
          <w:r>
            <w:rPr>
              <w:rFonts w:hint="eastAsia" w:ascii="仿宋" w:hAnsi="仿宋" w:eastAsia="仿宋" w:cs="Times New Roman"/>
              <w:b w:val="0"/>
              <w:bCs w:val="0"/>
              <w:color w:val="000000"/>
              <w:kern w:val="0"/>
              <w:sz w:val="32"/>
              <w:szCs w:val="32"/>
              <w:lang w:val="en-US" w:eastAsia="zh-CN" w:bidi="ar-SA"/>
            </w:rPr>
            <w:tab/>
          </w:r>
          <w:r>
            <w:rPr>
              <w:rFonts w:hint="eastAsia" w:ascii="仿宋" w:hAnsi="仿宋" w:eastAsia="仿宋" w:cs="Times New Roman"/>
              <w:b w:val="0"/>
              <w:bCs w:val="0"/>
              <w:color w:val="000000"/>
              <w:kern w:val="0"/>
              <w:sz w:val="32"/>
              <w:szCs w:val="32"/>
              <w:lang w:val="en-US" w:eastAsia="zh-CN" w:bidi="ar-SA"/>
            </w:rPr>
            <w:fldChar w:fldCharType="begin"/>
          </w:r>
          <w:r>
            <w:rPr>
              <w:rFonts w:hint="eastAsia" w:ascii="仿宋" w:hAnsi="仿宋" w:eastAsia="仿宋" w:cs="Times New Roman"/>
              <w:b w:val="0"/>
              <w:bCs w:val="0"/>
              <w:color w:val="000000"/>
              <w:kern w:val="0"/>
              <w:sz w:val="32"/>
              <w:szCs w:val="32"/>
              <w:lang w:val="en-US" w:eastAsia="zh-CN" w:bidi="ar-SA"/>
            </w:rPr>
            <w:instrText xml:space="preserve"> PAGEREF _Toc25271 \h </w:instrText>
          </w:r>
          <w:r>
            <w:rPr>
              <w:rFonts w:hint="eastAsia" w:ascii="仿宋" w:hAnsi="仿宋" w:eastAsia="仿宋" w:cs="Times New Roman"/>
              <w:b w:val="0"/>
              <w:bCs w:val="0"/>
              <w:color w:val="000000"/>
              <w:kern w:val="0"/>
              <w:sz w:val="32"/>
              <w:szCs w:val="32"/>
              <w:lang w:val="en-US" w:eastAsia="zh-CN" w:bidi="ar-SA"/>
            </w:rPr>
            <w:fldChar w:fldCharType="separate"/>
          </w:r>
          <w:r>
            <w:rPr>
              <w:rFonts w:hint="eastAsia" w:ascii="仿宋" w:hAnsi="仿宋" w:eastAsia="仿宋" w:cs="Times New Roman"/>
              <w:b w:val="0"/>
              <w:bCs w:val="0"/>
              <w:color w:val="000000"/>
              <w:kern w:val="0"/>
              <w:sz w:val="32"/>
              <w:szCs w:val="32"/>
              <w:lang w:val="en-US" w:eastAsia="zh-CN" w:bidi="ar-SA"/>
            </w:rPr>
            <w:t>46</w:t>
          </w:r>
          <w:r>
            <w:rPr>
              <w:rFonts w:hint="eastAsia" w:ascii="仿宋" w:hAnsi="仿宋" w:eastAsia="仿宋" w:cs="Times New Roman"/>
              <w:b w:val="0"/>
              <w:bCs w:val="0"/>
              <w:color w:val="000000"/>
              <w:kern w:val="0"/>
              <w:sz w:val="32"/>
              <w:szCs w:val="32"/>
              <w:lang w:val="en-US" w:eastAsia="zh-CN" w:bidi="ar-SA"/>
            </w:rPr>
            <w:fldChar w:fldCharType="end"/>
          </w:r>
          <w:r>
            <w:rPr>
              <w:rFonts w:hint="eastAsia" w:ascii="仿宋" w:hAnsi="仿宋" w:eastAsia="仿宋" w:cs="Times New Roman"/>
              <w:b w:val="0"/>
              <w:bCs w:val="0"/>
              <w:color w:val="000000"/>
              <w:kern w:val="0"/>
              <w:sz w:val="32"/>
              <w:szCs w:val="32"/>
              <w:lang w:val="en-US" w:eastAsia="zh-CN" w:bidi="ar-SA"/>
            </w:rPr>
            <w:fldChar w:fldCharType="end"/>
          </w:r>
        </w:p>
        <w:p>
          <w:r>
            <w:fldChar w:fldCharType="end"/>
          </w:r>
        </w:p>
      </w:sdtContent>
    </w:sdt>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2"/>
        <w:jc w:val="center"/>
        <w:rPr>
          <w:rStyle w:val="15"/>
          <w:rFonts w:ascii="黑体" w:hAnsi="黑体" w:eastAsia="黑体"/>
          <w:b/>
          <w:bCs w:val="0"/>
        </w:rPr>
      </w:pPr>
      <w:bookmarkStart w:id="17" w:name="_Toc12771"/>
      <w:r>
        <w:rPr>
          <w:rFonts w:hint="eastAsia" w:ascii="黑体" w:hAnsi="黑体" w:eastAsia="黑体"/>
          <w:b w:val="0"/>
        </w:rPr>
        <w:t>第一部分</w:t>
      </w:r>
      <w:r>
        <w:rPr>
          <w:rFonts w:ascii="黑体" w:hAnsi="黑体" w:eastAsia="黑体"/>
          <w:b w:val="0"/>
        </w:rPr>
        <w:t xml:space="preserve"> </w:t>
      </w:r>
      <w:r>
        <w:rPr>
          <w:rStyle w:val="15"/>
          <w:rFonts w:hint="eastAsia" w:ascii="黑体" w:hAnsi="黑体" w:eastAsia="黑体"/>
          <w:b w:val="0"/>
          <w:bCs w:val="0"/>
        </w:rPr>
        <w:t>部门概况</w:t>
      </w:r>
      <w:bookmarkEnd w:id="15"/>
      <w:bookmarkEnd w:id="16"/>
      <w:bookmarkEnd w:id="17"/>
    </w:p>
    <w:p>
      <w:pPr>
        <w:widowControl/>
        <w:jc w:val="left"/>
        <w:rPr>
          <w:rFonts w:ascii="黑体" w:eastAsia="黑体"/>
          <w:color w:val="000000"/>
          <w:sz w:val="32"/>
          <w:szCs w:val="32"/>
        </w:rPr>
      </w:pPr>
    </w:p>
    <w:p>
      <w:pPr>
        <w:pStyle w:val="3"/>
        <w:rPr>
          <w:rFonts w:hint="eastAsia" w:ascii="仿宋" w:hAnsi="仿宋" w:eastAsia="仿宋" w:cs="Times New Roman"/>
          <w:b/>
          <w:bCs/>
          <w:color w:val="000000"/>
          <w:kern w:val="0"/>
          <w:sz w:val="32"/>
          <w:szCs w:val="32"/>
          <w:lang w:val="en-US" w:eastAsia="zh-CN" w:bidi="ar-SA"/>
        </w:rPr>
      </w:pPr>
      <w:bookmarkStart w:id="18" w:name="_Toc25678"/>
      <w:bookmarkStart w:id="19" w:name="_Toc15396600"/>
      <w:bookmarkStart w:id="20" w:name="_Toc15377197"/>
      <w:r>
        <w:rPr>
          <w:rFonts w:hint="eastAsia" w:ascii="仿宋" w:hAnsi="仿宋" w:eastAsia="仿宋" w:cs="Times New Roman"/>
          <w:b/>
          <w:bCs/>
          <w:color w:val="000000"/>
          <w:kern w:val="0"/>
          <w:sz w:val="32"/>
          <w:szCs w:val="32"/>
          <w:lang w:val="en-US" w:eastAsia="zh-CN" w:bidi="ar-SA"/>
        </w:rPr>
        <w:t>一、基本职能及主要工作</w:t>
      </w:r>
      <w:bookmarkEnd w:id="18"/>
      <w:bookmarkEnd w:id="19"/>
      <w:bookmarkEnd w:id="20"/>
    </w:p>
    <w:p>
      <w:pPr>
        <w:pStyle w:val="4"/>
        <w:adjustRightInd w:val="0"/>
        <w:snapToGrid w:val="0"/>
        <w:spacing w:before="93" w:line="600" w:lineRule="exact"/>
        <w:ind w:firstLine="1308" w:firstLineChars="409"/>
        <w:outlineLvl w:val="2"/>
        <w:rPr>
          <w:rFonts w:hint="eastAsia" w:ascii="仿宋" w:hAnsi="仿宋" w:eastAsia="仿宋" w:cs="Times New Roman"/>
          <w:b w:val="0"/>
          <w:bCs w:val="0"/>
          <w:color w:val="000000"/>
          <w:kern w:val="0"/>
          <w:sz w:val="32"/>
          <w:szCs w:val="32"/>
          <w:lang w:val="en-US" w:eastAsia="zh-CN" w:bidi="ar-SA"/>
        </w:rPr>
      </w:pPr>
      <w:bookmarkStart w:id="21" w:name="_Toc31561"/>
      <w:bookmarkStart w:id="22" w:name="_Toc15396601"/>
      <w:bookmarkStart w:id="23" w:name="_Toc15377200"/>
      <w:r>
        <w:rPr>
          <w:rFonts w:hint="eastAsia" w:ascii="仿宋" w:hAnsi="仿宋" w:eastAsia="仿宋" w:cs="Times New Roman"/>
          <w:b w:val="0"/>
          <w:bCs w:val="0"/>
          <w:color w:val="000000"/>
          <w:kern w:val="0"/>
          <w:sz w:val="32"/>
          <w:szCs w:val="32"/>
          <w:lang w:val="en-US" w:eastAsia="zh-CN" w:bidi="ar-SA"/>
        </w:rPr>
        <w:t>根据中共四川省委机构编制委员会《关于调整巴中市政府工作部门及挂牌机构的批复》（编发〔2012〕1号），设立巴中市城市管理行政执法局（称市城管执法局），为市政府工作部门。</w:t>
      </w:r>
      <w:r>
        <w:rPr>
          <w:rFonts w:hint="eastAsia" w:ascii="仿宋" w:hAnsi="仿宋" w:eastAsia="仿宋" w:cs="Times New Roman"/>
          <w:b w:val="0"/>
          <w:bCs w:val="0"/>
          <w:color w:val="000000"/>
          <w:kern w:val="0"/>
          <w:sz w:val="32"/>
          <w:szCs w:val="32"/>
          <w:lang w:val="en-US" w:eastAsia="zh-CN" w:bidi="ar-SA"/>
        </w:rPr>
        <w:br w:type="textWrapping"/>
      </w:r>
      <w:r>
        <w:rPr>
          <w:rFonts w:hint="eastAsia" w:ascii="仿宋" w:hAnsi="仿宋" w:eastAsia="仿宋" w:cs="Times New Roman"/>
          <w:b w:val="0"/>
          <w:bCs w:val="0"/>
          <w:color w:val="000000"/>
          <w:kern w:val="0"/>
          <w:sz w:val="32"/>
          <w:szCs w:val="32"/>
          <w:lang w:val="en-US" w:eastAsia="zh-CN" w:bidi="ar-SA"/>
        </w:rPr>
        <w:t>    巴中市城市管理行政执法局成立于2011年8月，负责依法行使城市规划区内的城市规划和建设、房地产、装饰装修、市政工程、公共设施、户外广告、违规占道等城市综合行政管理和城乡规划、建设、房地产业、公共场所经营、户外广告等行政处罚权。</w:t>
      </w:r>
      <w:bookmarkEnd w:id="21"/>
    </w:p>
    <w:p>
      <w:pPr>
        <w:pStyle w:val="4"/>
        <w:adjustRightInd w:val="0"/>
        <w:snapToGrid w:val="0"/>
        <w:spacing w:before="93" w:line="600" w:lineRule="exact"/>
        <w:ind w:firstLine="672" w:firstLineChars="210"/>
        <w:outlineLvl w:val="2"/>
        <w:rPr>
          <w:rFonts w:hint="eastAsia" w:ascii="仿宋" w:hAnsi="仿宋" w:eastAsia="仿宋" w:cs="Times New Roman"/>
          <w:b w:val="0"/>
          <w:bCs w:val="0"/>
          <w:color w:val="000000"/>
          <w:kern w:val="0"/>
          <w:sz w:val="32"/>
          <w:szCs w:val="32"/>
          <w:lang w:val="en-US" w:eastAsia="zh-CN" w:bidi="ar-SA"/>
        </w:rPr>
      </w:pPr>
      <w:bookmarkStart w:id="24" w:name="_Toc15378446"/>
      <w:bookmarkStart w:id="25" w:name="_Toc15377199"/>
      <w:bookmarkStart w:id="26" w:name="_Toc31127"/>
      <w:r>
        <w:rPr>
          <w:rFonts w:hint="eastAsia" w:ascii="仿宋" w:hAnsi="仿宋" w:eastAsia="仿宋" w:cs="Times New Roman"/>
          <w:b w:val="0"/>
          <w:bCs w:val="0"/>
          <w:color w:val="000000"/>
          <w:kern w:val="0"/>
          <w:sz w:val="32"/>
          <w:szCs w:val="32"/>
          <w:lang w:val="en-US" w:eastAsia="zh-CN" w:bidi="ar-SA"/>
        </w:rPr>
        <w:t>（二）2020年重点工作完成情况。</w:t>
      </w:r>
      <w:bookmarkEnd w:id="24"/>
      <w:bookmarkEnd w:id="25"/>
      <w:bookmarkEnd w:id="26"/>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0" w:firstLineChars="300"/>
        <w:jc w:val="both"/>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t>1、深化城管执法体制改革。完成市政管理、园林绿化管理工作交接，纳入市、区县城市管理部门进行管理，按比例配齐城管执法人员，加强执法车辆、执法记录仪等装备保障，构建权责一致、执法规范、管理有序的城市管理执法体系，让城市运行更安全、管理服务更高效、市民生活更方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0" w:firstLineChars="300"/>
        <w:jc w:val="both"/>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t>2、大力开展“两拆一增”。力争拆除围墙1.2万米、拆违违法建设7.3万平方米、增添城市绿化景观26处。重点拆除影响通行、存在安全隐患、违法违规的围墙，坚决拆除新生违法建设，重点消化存在安全隐患、群众反响强烈的存量违法建设，增设一批富含品味、特色的城市绿化景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0" w:firstLineChars="300"/>
        <w:jc w:val="both"/>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t>3、全力争创全国文明城市。坚持秩序与活力的统一，深入实践“潮汐式”摊区，加强店招店牌和户外广告监管，深入推进城乡提升，开展“两拆一增、市容美化、共治共享、氛围营造、蓝天保卫、锻造铁军”6大行动，着力深化“1+2+N”共治共享机制，进一步提高文明城市创建合力，大力营造创建氛围，进一步提升城市治理精细化、智能化水平，切实提升市民文明城市创建的获得感和主人翁意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0" w:firstLineChars="300"/>
        <w:jc w:val="both"/>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t>4、切实规范执法行为锻造城管铁军。以全国城管执法系统“强基础、转作风、树形象”活动为契机，强化党建引领，开展教育培训、监督执纪、岗位练兵、创新治理四大行动，进一步培育城管执法队伍“勇于担当、乐于吃苦、甘于奉献”的精神。</w:t>
      </w:r>
      <w:bookmarkStart w:id="27" w:name="_Toc2846"/>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960" w:firstLineChars="300"/>
        <w:jc w:val="both"/>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t>5、推进城市管理立法。继续推动《巴中市扬尘防治条例》立法审查，进一步完善《巴中市城市管理办法》，推动《巴中市城市管理综合执法条例》纳入年度立法计划，完善巴中市违法建设治理机制，建立基本的城市管理法规体系和现代城市治理体系，推动扬尘污染、城市管理执法、违法建设治理法治化、制度化、规范化，不断提高城市管理效能，有效提升巴城人民满意度。</w:t>
      </w:r>
      <w:bookmarkEnd w:id="27"/>
    </w:p>
    <w:p>
      <w:pPr>
        <w:pStyle w:val="3"/>
        <w:ind w:firstLine="640" w:firstLineChars="200"/>
        <w:rPr>
          <w:rStyle w:val="16"/>
          <w:b w:val="0"/>
          <w:bCs w:val="0"/>
        </w:rPr>
      </w:pPr>
      <w:bookmarkStart w:id="28" w:name="_Toc28326"/>
      <w:r>
        <w:rPr>
          <w:rFonts w:hint="eastAsia" w:ascii="黑体" w:eastAsia="黑体"/>
          <w:b w:val="0"/>
          <w:color w:val="000000"/>
        </w:rPr>
        <w:t>二、</w:t>
      </w:r>
      <w:r>
        <w:rPr>
          <w:rFonts w:hint="eastAsia" w:ascii="黑体" w:hAnsi="黑体" w:eastAsia="黑体"/>
          <w:b w:val="0"/>
          <w:color w:val="000000"/>
        </w:rPr>
        <w:t>机</w:t>
      </w:r>
      <w:r>
        <w:rPr>
          <w:rStyle w:val="16"/>
          <w:rFonts w:hint="eastAsia" w:ascii="黑体" w:hAnsi="黑体" w:eastAsia="黑体"/>
          <w:b w:val="0"/>
          <w:bCs w:val="0"/>
        </w:rPr>
        <w:t>构设置</w:t>
      </w:r>
      <w:bookmarkEnd w:id="22"/>
      <w:bookmarkEnd w:id="23"/>
      <w:bookmarkEnd w:id="28"/>
    </w:p>
    <w:p>
      <w:pPr>
        <w:pStyle w:val="4"/>
        <w:numPr>
          <w:ilvl w:val="0"/>
          <w:numId w:val="0"/>
        </w:numPr>
        <w:adjustRightInd w:val="0"/>
        <w:snapToGrid w:val="0"/>
        <w:spacing w:before="93" w:line="600" w:lineRule="exact"/>
        <w:ind w:left="0" w:leftChars="0" w:firstLine="640" w:firstLineChars="200"/>
        <w:outlineLvl w:val="2"/>
        <w:rPr>
          <w:rFonts w:hint="eastAsia" w:ascii="仿宋" w:hAnsi="仿宋" w:eastAsia="仿宋"/>
          <w:color w:val="000000"/>
          <w:sz w:val="32"/>
          <w:szCs w:val="32"/>
          <w:lang w:eastAsia="zh-CN"/>
        </w:rPr>
      </w:pPr>
      <w:r>
        <w:rPr>
          <w:rFonts w:hint="eastAsia" w:ascii="仿宋" w:hAnsi="仿宋" w:eastAsia="仿宋"/>
          <w:sz w:val="32"/>
          <w:szCs w:val="32"/>
        </w:rPr>
        <w:t>巴中市城市管理行政执法局</w:t>
      </w:r>
      <w:r>
        <w:rPr>
          <w:rFonts w:hint="eastAsia" w:ascii="仿宋" w:hAnsi="仿宋" w:eastAsia="仿宋"/>
          <w:sz w:val="32"/>
          <w:szCs w:val="32"/>
          <w:lang w:eastAsia="zh-CN"/>
        </w:rPr>
        <w:t>内设局办公室、城市管理科、执法监督科、计划财务科四个科室。</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15"/>
          <w:rFonts w:ascii="黑体" w:hAnsi="黑体" w:eastAsia="黑体"/>
          <w:b w:val="0"/>
          <w:bCs w:val="0"/>
        </w:rPr>
      </w:pPr>
      <w:bookmarkStart w:id="29" w:name="_Toc15377204"/>
      <w:bookmarkStart w:id="30" w:name="_Toc5901"/>
      <w:bookmarkStart w:id="31" w:name="_Toc15396602"/>
      <w:r>
        <w:rPr>
          <w:rFonts w:hint="eastAsia" w:ascii="黑体" w:hAnsi="黑体" w:eastAsia="黑体"/>
          <w:b w:val="0"/>
          <w:color w:val="000000"/>
        </w:rPr>
        <w:t>第二部分</w:t>
      </w:r>
      <w:r>
        <w:rPr>
          <w:rFonts w:ascii="黑体" w:hAnsi="黑体" w:eastAsia="黑体"/>
          <w:color w:val="000000"/>
        </w:rPr>
        <w:t xml:space="preserve"> </w:t>
      </w:r>
      <w:r>
        <w:rPr>
          <w:rStyle w:val="15"/>
          <w:rFonts w:ascii="黑体" w:hAnsi="黑体" w:eastAsia="黑体"/>
          <w:b w:val="0"/>
          <w:bCs w:val="0"/>
        </w:rPr>
        <w:t>2020</w:t>
      </w:r>
      <w:r>
        <w:rPr>
          <w:rStyle w:val="15"/>
          <w:rFonts w:hint="eastAsia" w:ascii="黑体" w:hAnsi="黑体" w:eastAsia="黑体"/>
          <w:b w:val="0"/>
          <w:bCs w:val="0"/>
        </w:rPr>
        <w:t>年度部门决算情况说明</w:t>
      </w:r>
      <w:bookmarkEnd w:id="29"/>
      <w:bookmarkEnd w:id="30"/>
      <w:bookmarkEnd w:id="31"/>
    </w:p>
    <w:p/>
    <w:p>
      <w:pPr>
        <w:pStyle w:val="17"/>
        <w:numPr>
          <w:ilvl w:val="0"/>
          <w:numId w:val="1"/>
        </w:numPr>
        <w:spacing w:line="600" w:lineRule="exact"/>
        <w:ind w:firstLineChars="0"/>
        <w:outlineLvl w:val="1"/>
        <w:rPr>
          <w:rStyle w:val="16"/>
          <w:rFonts w:ascii="黑体" w:hAnsi="黑体" w:eastAsia="黑体"/>
          <w:b w:val="0"/>
        </w:rPr>
      </w:pPr>
      <w:bookmarkStart w:id="32" w:name="_Toc15377205"/>
      <w:bookmarkStart w:id="33" w:name="_Toc8601"/>
      <w:bookmarkStart w:id="34" w:name="_Toc15396603"/>
      <w:r>
        <w:rPr>
          <w:rFonts w:hint="eastAsia" w:ascii="黑体" w:hAnsi="黑体" w:eastAsia="黑体"/>
          <w:color w:val="000000"/>
          <w:sz w:val="32"/>
          <w:szCs w:val="32"/>
        </w:rPr>
        <w:t>收</w:t>
      </w:r>
      <w:r>
        <w:rPr>
          <w:rStyle w:val="16"/>
          <w:rFonts w:hint="eastAsia" w:ascii="黑体" w:hAnsi="黑体" w:eastAsia="黑体"/>
          <w:b w:val="0"/>
        </w:rPr>
        <w:t>入支出决算总体情况说明</w:t>
      </w:r>
      <w:bookmarkEnd w:id="32"/>
      <w:bookmarkEnd w:id="33"/>
      <w:bookmarkEnd w:id="34"/>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2020</w:t>
      </w:r>
      <w:r>
        <w:rPr>
          <w:rFonts w:hint="eastAsia" w:ascii="仿宋" w:hAnsi="仿宋" w:eastAsia="仿宋"/>
          <w:color w:val="000000"/>
          <w:sz w:val="32"/>
          <w:szCs w:val="32"/>
        </w:rPr>
        <w:t>年度收、支总计</w:t>
      </w:r>
      <w:r>
        <w:rPr>
          <w:rFonts w:hint="eastAsia" w:ascii="仿宋" w:hAnsi="仿宋" w:eastAsia="仿宋"/>
          <w:sz w:val="32"/>
          <w:szCs w:val="32"/>
        </w:rPr>
        <w:t>3077.58</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年相比，收、支总计各增加</w:t>
      </w:r>
      <w:r>
        <w:rPr>
          <w:rFonts w:hint="eastAsia" w:ascii="仿宋" w:hAnsi="仿宋" w:eastAsia="仿宋"/>
          <w:color w:val="000000"/>
          <w:sz w:val="32"/>
          <w:szCs w:val="32"/>
          <w:lang w:val="en-US" w:eastAsia="zh-CN"/>
        </w:rPr>
        <w:t>576.17</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23</w:t>
      </w:r>
      <w:r>
        <w:rPr>
          <w:rFonts w:ascii="仿宋" w:hAnsi="仿宋" w:eastAsia="仿宋"/>
          <w:color w:val="000000"/>
          <w:sz w:val="32"/>
          <w:szCs w:val="32"/>
        </w:rPr>
        <w:t>%</w:t>
      </w:r>
      <w:r>
        <w:rPr>
          <w:rFonts w:hint="eastAsia" w:ascii="仿宋" w:hAnsi="仿宋" w:eastAsia="仿宋"/>
          <w:color w:val="000000"/>
          <w:sz w:val="32"/>
          <w:szCs w:val="32"/>
        </w:rPr>
        <w:t>。主要变动原因是人员增加、支付上年结转资金</w:t>
      </w:r>
      <w:r>
        <w:rPr>
          <w:rFonts w:hint="eastAsia" w:ascii="仿宋" w:hAnsi="仿宋" w:eastAsia="仿宋"/>
          <w:color w:val="000000"/>
          <w:sz w:val="32"/>
          <w:szCs w:val="32"/>
          <w:lang w:eastAsia="zh-CN"/>
        </w:rPr>
        <w:t>。</w:t>
      </w:r>
    </w:p>
    <w:p>
      <w:pPr>
        <w:spacing w:line="600" w:lineRule="exact"/>
        <w:ind w:firstLine="640" w:firstLineChars="200"/>
        <w:jc w:val="left"/>
        <w:rPr>
          <w:rFonts w:ascii="仿宋_GB2312" w:eastAsia="仿宋_GB2312"/>
          <w:color w:val="000000"/>
          <w:sz w:val="32"/>
          <w:szCs w:val="32"/>
        </w:rPr>
      </w:pPr>
      <w:r>
        <w:rPr>
          <w:rFonts w:hint="eastAsia" w:ascii="仿宋" w:hAnsi="仿宋" w:eastAsia="仿宋"/>
          <w:color w:val="000000"/>
          <w:sz w:val="32"/>
          <w:szCs w:val="32"/>
          <w:lang w:eastAsia="zh-CN"/>
        </w:rPr>
        <w:drawing>
          <wp:anchor distT="0" distB="0" distL="114300" distR="114300" simplePos="0" relativeHeight="251659264" behindDoc="0" locked="0" layoutInCell="1" allowOverlap="1">
            <wp:simplePos x="0" y="0"/>
            <wp:positionH relativeFrom="column">
              <wp:posOffset>516255</wp:posOffset>
            </wp:positionH>
            <wp:positionV relativeFrom="paragraph">
              <wp:posOffset>75565</wp:posOffset>
            </wp:positionV>
            <wp:extent cx="3959860" cy="2132965"/>
            <wp:effectExtent l="0" t="0" r="2540" b="63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jc w:val="left"/>
        <w:rPr>
          <w:rFonts w:ascii="仿宋_GB2312" w:eastAsia="仿宋_GB2312"/>
          <w:color w:val="000000"/>
          <w:sz w:val="32"/>
          <w:szCs w:val="32"/>
        </w:rPr>
      </w:pPr>
    </w:p>
    <w:p>
      <w:pPr>
        <w:pStyle w:val="17"/>
        <w:numPr>
          <w:ilvl w:val="0"/>
          <w:numId w:val="1"/>
        </w:numPr>
        <w:spacing w:line="600" w:lineRule="exact"/>
        <w:ind w:firstLineChars="0"/>
        <w:outlineLvl w:val="1"/>
        <w:rPr>
          <w:rStyle w:val="16"/>
          <w:rFonts w:ascii="黑体" w:hAnsi="黑体" w:eastAsia="黑体"/>
          <w:b w:val="0"/>
        </w:rPr>
      </w:pPr>
      <w:bookmarkStart w:id="35" w:name="_Toc10111"/>
      <w:bookmarkStart w:id="36" w:name="_Toc15396604"/>
      <w:bookmarkStart w:id="37" w:name="_Toc15377206"/>
      <w:r>
        <w:rPr>
          <w:rFonts w:hint="eastAsia" w:ascii="黑体" w:hAnsi="黑体" w:eastAsia="黑体"/>
          <w:color w:val="000000"/>
          <w:sz w:val="32"/>
          <w:szCs w:val="32"/>
        </w:rPr>
        <w:t>收</w:t>
      </w:r>
      <w:r>
        <w:rPr>
          <w:rStyle w:val="16"/>
          <w:rFonts w:hint="eastAsia" w:ascii="黑体" w:hAnsi="黑体" w:eastAsia="黑体"/>
          <w:b w:val="0"/>
        </w:rPr>
        <w:t>入决算情况说明</w:t>
      </w:r>
      <w:bookmarkEnd w:id="35"/>
      <w:bookmarkEnd w:id="36"/>
      <w:bookmarkEnd w:id="37"/>
    </w:p>
    <w:p>
      <w:pPr>
        <w:spacing w:line="600" w:lineRule="exact"/>
        <w:ind w:firstLine="640" w:firstLineChars="200"/>
        <w:outlineLvl w:val="1"/>
        <w:rPr>
          <w:rFonts w:ascii="仿宋" w:hAnsi="仿宋" w:eastAsia="仿宋"/>
          <w:color w:val="000000"/>
          <w:sz w:val="32"/>
          <w:szCs w:val="32"/>
        </w:rPr>
      </w:pPr>
      <w:bookmarkStart w:id="38" w:name="_Toc2395"/>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1364.81</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554.81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41</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810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59</w:t>
      </w:r>
      <w:r>
        <w:rPr>
          <w:rFonts w:ascii="仿宋" w:hAnsi="仿宋" w:eastAsia="仿宋"/>
          <w:color w:val="000000"/>
          <w:sz w:val="32"/>
          <w:szCs w:val="32"/>
        </w:rPr>
        <w:t>%</w:t>
      </w:r>
      <w:r>
        <w:rPr>
          <w:rFonts w:hint="eastAsia" w:ascii="仿宋" w:hAnsi="仿宋" w:eastAsia="仿宋"/>
          <w:color w:val="000000"/>
          <w:sz w:val="32"/>
          <w:szCs w:val="32"/>
        </w:rPr>
        <w:t>。</w:t>
      </w:r>
      <w:bookmarkEnd w:id="38"/>
    </w:p>
    <w:p>
      <w:pPr>
        <w:spacing w:line="600" w:lineRule="exact"/>
        <w:ind w:firstLine="640" w:firstLineChars="200"/>
        <w:rPr>
          <w:rFonts w:ascii="仿宋_GB2312" w:eastAsia="仿宋_GB2312"/>
          <w:color w:val="FF0000"/>
          <w:sz w:val="32"/>
          <w:szCs w:val="32"/>
        </w:rPr>
      </w:pPr>
    </w:p>
    <w:p>
      <w:pPr>
        <w:pStyle w:val="17"/>
        <w:numPr>
          <w:ilvl w:val="0"/>
          <w:numId w:val="1"/>
        </w:numPr>
        <w:spacing w:line="600" w:lineRule="exact"/>
        <w:ind w:firstLineChars="0"/>
        <w:outlineLvl w:val="1"/>
        <w:rPr>
          <w:rStyle w:val="16"/>
          <w:rFonts w:ascii="黑体" w:hAnsi="黑体" w:eastAsia="黑体"/>
          <w:b w:val="0"/>
        </w:rPr>
      </w:pPr>
      <w:bookmarkStart w:id="39" w:name="_Toc15377207"/>
      <w:bookmarkStart w:id="40" w:name="_Toc7308"/>
      <w:bookmarkStart w:id="41" w:name="_Toc15396605"/>
      <w:r>
        <w:rPr>
          <w:rFonts w:hint="eastAsia" w:ascii="黑体" w:hAnsi="黑体" w:eastAsia="黑体"/>
          <w:color w:val="000000"/>
          <w:sz w:val="32"/>
          <w:szCs w:val="32"/>
        </w:rPr>
        <w:t>支</w:t>
      </w:r>
      <w:r>
        <w:rPr>
          <w:rStyle w:val="16"/>
          <w:rFonts w:hint="eastAsia" w:ascii="黑体" w:hAnsi="黑体" w:eastAsia="黑体"/>
          <w:b w:val="0"/>
        </w:rPr>
        <w:t>出决算情况说明</w:t>
      </w:r>
      <w:bookmarkEnd w:id="39"/>
      <w:bookmarkEnd w:id="40"/>
      <w:bookmarkEnd w:id="41"/>
    </w:p>
    <w:p>
      <w:pPr>
        <w:spacing w:line="600" w:lineRule="exact"/>
        <w:ind w:firstLine="640" w:firstLineChars="200"/>
        <w:outlineLvl w:val="1"/>
        <w:rPr>
          <w:rFonts w:ascii="仿宋" w:hAnsi="仿宋" w:eastAsia="仿宋"/>
          <w:color w:val="000000"/>
          <w:sz w:val="32"/>
          <w:szCs w:val="32"/>
          <w:shd w:val="pct10" w:color="auto" w:fill="FFFFFF"/>
        </w:rPr>
      </w:pPr>
      <w:bookmarkStart w:id="42" w:name="_Toc15960"/>
      <w:r>
        <w:rPr>
          <w:rFonts w:ascii="仿宋" w:hAnsi="仿宋" w:eastAsia="仿宋"/>
          <w:color w:val="000000"/>
          <w:sz w:val="32"/>
          <w:szCs w:val="32"/>
        </w:rPr>
        <w:t>2020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2175.24</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245.34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11.28</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1929.9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88.72</w:t>
      </w:r>
      <w:r>
        <w:rPr>
          <w:rFonts w:ascii="仿宋" w:hAnsi="仿宋" w:eastAsia="仿宋"/>
          <w:color w:val="000000"/>
          <w:sz w:val="32"/>
          <w:szCs w:val="32"/>
        </w:rPr>
        <w:t>%%</w:t>
      </w:r>
      <w:r>
        <w:rPr>
          <w:rFonts w:hint="eastAsia" w:ascii="仿宋" w:hAnsi="仿宋" w:eastAsia="仿宋"/>
          <w:color w:val="000000"/>
          <w:sz w:val="32"/>
          <w:szCs w:val="32"/>
        </w:rPr>
        <w:t>。</w:t>
      </w:r>
      <w:bookmarkEnd w:id="42"/>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16"/>
          <w:rFonts w:ascii="黑体" w:hAnsi="黑体" w:eastAsia="黑体"/>
          <w:b w:val="0"/>
        </w:rPr>
      </w:pPr>
      <w:bookmarkStart w:id="43" w:name="_Toc15377208"/>
      <w:bookmarkStart w:id="44" w:name="_Toc30151"/>
      <w:bookmarkStart w:id="45" w:name="_Toc15396606"/>
      <w:r>
        <w:rPr>
          <w:rFonts w:hint="eastAsia" w:ascii="黑体" w:hAnsi="黑体" w:eastAsia="黑体"/>
          <w:color w:val="000000"/>
          <w:sz w:val="32"/>
          <w:szCs w:val="32"/>
        </w:rPr>
        <w:t>四、财</w:t>
      </w:r>
      <w:r>
        <w:rPr>
          <w:rStyle w:val="16"/>
          <w:rFonts w:hint="eastAsia" w:ascii="黑体" w:hAnsi="黑体" w:eastAsia="黑体"/>
          <w:b w:val="0"/>
        </w:rPr>
        <w:t>政拨款收入支出决算总体情况说明</w:t>
      </w:r>
      <w:bookmarkEnd w:id="43"/>
      <w:bookmarkEnd w:id="44"/>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年度收、支总计</w:t>
      </w:r>
      <w:r>
        <w:rPr>
          <w:rFonts w:hint="eastAsia" w:ascii="仿宋" w:hAnsi="仿宋" w:eastAsia="仿宋"/>
          <w:sz w:val="32"/>
          <w:szCs w:val="32"/>
        </w:rPr>
        <w:t>3077.58</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年相比，收、支总计各增加</w:t>
      </w:r>
      <w:r>
        <w:rPr>
          <w:rFonts w:hint="eastAsia" w:ascii="仿宋" w:hAnsi="仿宋" w:eastAsia="仿宋"/>
          <w:color w:val="000000"/>
          <w:sz w:val="32"/>
          <w:szCs w:val="32"/>
          <w:lang w:val="en-US" w:eastAsia="zh-CN"/>
        </w:rPr>
        <w:t>576.17</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23</w:t>
      </w:r>
      <w:r>
        <w:rPr>
          <w:rFonts w:ascii="仿宋" w:hAnsi="仿宋" w:eastAsia="仿宋"/>
          <w:color w:val="000000"/>
          <w:sz w:val="32"/>
          <w:szCs w:val="32"/>
        </w:rPr>
        <w:t>%</w:t>
      </w:r>
      <w:r>
        <w:rPr>
          <w:rFonts w:hint="eastAsia" w:ascii="仿宋" w:hAnsi="仿宋" w:eastAsia="仿宋"/>
          <w:color w:val="000000"/>
          <w:sz w:val="32"/>
          <w:szCs w:val="32"/>
        </w:rPr>
        <w:t>。主要变动原因是人员增加、支付上年结转资金</w:t>
      </w:r>
      <w:r>
        <w:rPr>
          <w:rFonts w:hint="eastAsia" w:ascii="仿宋" w:hAnsi="仿宋" w:eastAsia="仿宋"/>
          <w:color w:val="000000"/>
          <w:sz w:val="32"/>
          <w:szCs w:val="32"/>
          <w:lang w:eastAsia="zh-CN"/>
        </w:rPr>
        <w:t>。</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16"/>
          <w:rFonts w:ascii="黑体" w:hAnsi="黑体" w:eastAsia="黑体"/>
          <w:b w:val="0"/>
        </w:rPr>
      </w:pPr>
      <w:bookmarkStart w:id="46" w:name="_Toc15377209"/>
      <w:bookmarkStart w:id="47" w:name="_Toc15396607"/>
      <w:bookmarkStart w:id="48" w:name="_Toc11314"/>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6"/>
          <w:rFonts w:hint="eastAsia" w:ascii="黑体" w:hAnsi="黑体" w:eastAsia="黑体"/>
          <w:b w:val="0"/>
        </w:rPr>
        <w:t>般公共预算财政拨款支出决算情况说明</w:t>
      </w:r>
      <w:bookmarkEnd w:id="46"/>
      <w:bookmarkEnd w:id="47"/>
      <w:bookmarkEnd w:id="48"/>
    </w:p>
    <w:p>
      <w:pPr>
        <w:spacing w:line="600" w:lineRule="exact"/>
        <w:ind w:firstLine="643" w:firstLineChars="200"/>
        <w:outlineLvl w:val="2"/>
        <w:rPr>
          <w:rFonts w:ascii="仿宋" w:hAnsi="仿宋" w:eastAsia="仿宋"/>
          <w:b/>
          <w:color w:val="000000"/>
          <w:sz w:val="32"/>
          <w:szCs w:val="32"/>
        </w:rPr>
      </w:pPr>
      <w:bookmarkStart w:id="49" w:name="_Toc15377210"/>
      <w:bookmarkStart w:id="50" w:name="_Toc6461"/>
      <w:r>
        <w:rPr>
          <w:rFonts w:hint="eastAsia" w:ascii="仿宋" w:hAnsi="仿宋" w:eastAsia="仿宋"/>
          <w:b/>
          <w:color w:val="000000"/>
          <w:sz w:val="32"/>
          <w:szCs w:val="32"/>
        </w:rPr>
        <w:t>（一）一般公共预算财政拨款支出决算总体情况</w:t>
      </w:r>
      <w:bookmarkEnd w:id="49"/>
      <w:bookmarkEnd w:id="50"/>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1178.24</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54</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446.44</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61</w:t>
      </w:r>
      <w:r>
        <w:rPr>
          <w:rFonts w:ascii="仿宋" w:hAnsi="仿宋" w:eastAsia="仿宋"/>
          <w:color w:val="000000"/>
          <w:sz w:val="32"/>
          <w:szCs w:val="32"/>
        </w:rPr>
        <w:t>%</w:t>
      </w:r>
      <w:r>
        <w:rPr>
          <w:rFonts w:hint="eastAsia" w:ascii="仿宋" w:hAnsi="仿宋" w:eastAsia="仿宋"/>
          <w:color w:val="000000"/>
          <w:sz w:val="32"/>
          <w:szCs w:val="32"/>
        </w:rPr>
        <w:t>。主要变动原因是节能环保支出</w:t>
      </w:r>
      <w:r>
        <w:rPr>
          <w:rFonts w:hint="eastAsia" w:ascii="仿宋" w:hAnsi="仿宋" w:eastAsia="仿宋"/>
          <w:color w:val="000000"/>
          <w:sz w:val="32"/>
          <w:szCs w:val="32"/>
          <w:lang w:eastAsia="zh-CN"/>
        </w:rPr>
        <w:t>、城乡社区支出增加。</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51" w:name="_Toc15377211"/>
      <w:bookmarkStart w:id="52" w:name="_Toc28138"/>
      <w:r>
        <w:rPr>
          <w:rFonts w:hint="eastAsia" w:ascii="仿宋" w:hAnsi="仿宋" w:eastAsia="仿宋"/>
          <w:b/>
          <w:color w:val="000000"/>
          <w:sz w:val="32"/>
          <w:szCs w:val="32"/>
        </w:rPr>
        <w:t>（二）一般公共预算财政拨款支出决算结构情况</w:t>
      </w:r>
      <w:bookmarkEnd w:id="51"/>
      <w:bookmarkEnd w:id="52"/>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1555.84</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教</w:t>
      </w:r>
      <w:bookmarkStart w:id="119" w:name="_GoBack"/>
      <w:bookmarkEnd w:id="119"/>
      <w:r>
        <w:rPr>
          <w:rFonts w:hint="eastAsia" w:ascii="仿宋" w:hAnsi="仿宋" w:eastAsia="仿宋"/>
          <w:b/>
          <w:color w:val="000000"/>
          <w:sz w:val="32"/>
          <w:szCs w:val="32"/>
        </w:rPr>
        <w:t>育支出（类）</w:t>
      </w: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0.52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17.1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10.9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节能环保支出</w:t>
      </w:r>
      <w:r>
        <w:rPr>
          <w:rFonts w:hint="eastAsia" w:ascii="仿宋" w:hAnsi="仿宋" w:eastAsia="仿宋"/>
          <w:color w:val="000000"/>
          <w:sz w:val="32"/>
          <w:szCs w:val="32"/>
          <w:lang w:val="en-US" w:eastAsia="zh-CN"/>
        </w:rPr>
        <w:t>500.1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32.14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城乡社区支出</w:t>
      </w:r>
      <w:r>
        <w:rPr>
          <w:rFonts w:hint="eastAsia" w:ascii="仿宋" w:hAnsi="仿宋" w:eastAsia="仿宋"/>
          <w:color w:val="000000"/>
          <w:sz w:val="32"/>
          <w:szCs w:val="32"/>
          <w:lang w:val="en-US" w:eastAsia="zh-CN"/>
        </w:rPr>
        <w:t>1001.88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64.39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农林水支出</w:t>
      </w:r>
      <w:r>
        <w:rPr>
          <w:rFonts w:hint="eastAsia" w:ascii="仿宋" w:hAnsi="仿宋" w:eastAsia="仿宋"/>
          <w:color w:val="000000"/>
          <w:sz w:val="32"/>
          <w:szCs w:val="32"/>
          <w:lang w:val="en-US" w:eastAsia="zh-CN"/>
        </w:rPr>
        <w:t>0.57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住房保障支出</w:t>
      </w:r>
      <w:r>
        <w:rPr>
          <w:rFonts w:hint="eastAsia" w:ascii="仿宋" w:hAnsi="仿宋" w:eastAsia="仿宋"/>
          <w:color w:val="000000"/>
          <w:sz w:val="32"/>
          <w:szCs w:val="32"/>
          <w:lang w:val="en-US" w:eastAsia="zh-CN"/>
        </w:rPr>
        <w:t>17.32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1.11</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highlight w:val="none"/>
        </w:rPr>
      </w:pPr>
      <w:bookmarkStart w:id="53" w:name="_Toc15377212"/>
      <w:bookmarkStart w:id="54" w:name="_Toc30312"/>
      <w:r>
        <w:rPr>
          <w:rFonts w:hint="eastAsia" w:ascii="仿宋" w:hAnsi="仿宋" w:eastAsia="仿宋"/>
          <w:b/>
          <w:color w:val="000000"/>
          <w:sz w:val="32"/>
          <w:szCs w:val="32"/>
          <w:highlight w:val="none"/>
        </w:rPr>
        <w:t>（三）一般公共预算财政拨款支出决算具体情况</w:t>
      </w:r>
      <w:bookmarkEnd w:id="53"/>
      <w:bookmarkEnd w:id="54"/>
    </w:p>
    <w:p>
      <w:pPr>
        <w:spacing w:line="600" w:lineRule="exact"/>
        <w:ind w:firstLine="643" w:firstLineChars="200"/>
        <w:outlineLvl w:val="2"/>
        <w:rPr>
          <w:rFonts w:ascii="仿宋" w:hAnsi="仿宋" w:eastAsia="仿宋"/>
          <w:color w:val="FF0000"/>
          <w:sz w:val="32"/>
          <w:szCs w:val="32"/>
        </w:rPr>
      </w:pPr>
      <w:bookmarkStart w:id="55" w:name="_Toc15377213"/>
      <w:bookmarkStart w:id="56" w:name="_Toc15378460"/>
      <w:bookmarkStart w:id="57" w:name="_Toc15377444"/>
      <w:bookmarkStart w:id="58" w:name="_Toc31625"/>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b/>
          <w:color w:val="000000"/>
          <w:sz w:val="32"/>
          <w:szCs w:val="32"/>
          <w:lang w:val="en-US" w:eastAsia="zh-CN"/>
        </w:rPr>
        <w:t>1178.24万元</w:t>
      </w:r>
      <w:r>
        <w:rPr>
          <w:rStyle w:val="13"/>
          <w:rFonts w:hint="eastAsia" w:ascii="仿宋" w:hAnsi="仿宋" w:eastAsia="仿宋"/>
          <w:bCs/>
          <w:color w:val="000000"/>
          <w:sz w:val="32"/>
          <w:szCs w:val="32"/>
        </w:rPr>
        <w:t>。其中：</w:t>
      </w:r>
      <w:bookmarkEnd w:id="55"/>
      <w:bookmarkEnd w:id="56"/>
      <w:bookmarkEnd w:id="57"/>
      <w:bookmarkEnd w:id="58"/>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1.</w:t>
      </w:r>
      <w:r>
        <w:rPr>
          <w:rStyle w:val="13"/>
          <w:rFonts w:hint="eastAsia" w:ascii="仿宋" w:hAnsi="仿宋" w:eastAsia="仿宋"/>
          <w:bCs/>
          <w:color w:val="000000"/>
          <w:sz w:val="32"/>
          <w:szCs w:val="32"/>
        </w:rPr>
        <w:t>教育（类）进修及培训（款）干部教育（项）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8</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Style w:val="13"/>
          <w:rFonts w:hint="eastAsia" w:ascii="仿宋" w:hAnsi="仿宋" w:eastAsia="仿宋"/>
          <w:b w:val="0"/>
          <w:bCs/>
          <w:color w:val="000000"/>
          <w:sz w:val="32"/>
          <w:szCs w:val="32"/>
        </w:rPr>
      </w:pPr>
      <w:r>
        <w:rPr>
          <w:rStyle w:val="13"/>
          <w:rFonts w:ascii="仿宋" w:hAnsi="仿宋" w:eastAsia="仿宋"/>
          <w:bCs/>
          <w:color w:val="000000"/>
          <w:sz w:val="32"/>
          <w:szCs w:val="32"/>
        </w:rPr>
        <w:t>2.</w:t>
      </w:r>
      <w:r>
        <w:rPr>
          <w:rFonts w:hint="eastAsia" w:ascii="仿宋" w:hAnsi="仿宋" w:eastAsia="仿宋"/>
          <w:b/>
          <w:color w:val="000000"/>
          <w:sz w:val="32"/>
          <w:szCs w:val="32"/>
        </w:rPr>
        <w:t>社会保障和就业</w:t>
      </w:r>
      <w:r>
        <w:rPr>
          <w:rFonts w:hint="eastAsia" w:ascii="仿宋" w:hAnsi="仿宋" w:eastAsia="仿宋"/>
          <w:b/>
          <w:color w:val="000000"/>
          <w:sz w:val="32"/>
          <w:szCs w:val="32"/>
          <w:lang w:eastAsia="zh-CN"/>
        </w:rPr>
        <w:t>支出</w:t>
      </w:r>
      <w:r>
        <w:rPr>
          <w:rStyle w:val="13"/>
          <w:rFonts w:hint="eastAsia" w:ascii="仿宋" w:hAnsi="仿宋" w:eastAsia="仿宋"/>
          <w:bCs/>
          <w:color w:val="000000"/>
          <w:sz w:val="32"/>
          <w:szCs w:val="32"/>
        </w:rPr>
        <w:t>（类）行政事业单位养老支出（款）行政单位离退休（项）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0.87</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Style w:val="13"/>
          <w:rFonts w:hint="eastAsia" w:ascii="仿宋" w:hAnsi="仿宋" w:eastAsia="仿宋"/>
          <w:b w:val="0"/>
          <w:bCs/>
          <w:color w:val="000000"/>
          <w:sz w:val="32"/>
          <w:szCs w:val="32"/>
        </w:rPr>
      </w:pPr>
      <w:r>
        <w:rPr>
          <w:rFonts w:hint="eastAsia" w:ascii="仿宋" w:hAnsi="仿宋" w:eastAsia="仿宋"/>
          <w:b/>
          <w:color w:val="000000"/>
          <w:sz w:val="32"/>
          <w:szCs w:val="32"/>
          <w:lang w:val="en-US" w:eastAsia="zh-CN"/>
        </w:rPr>
        <w:t>3.</w:t>
      </w:r>
      <w:r>
        <w:rPr>
          <w:rFonts w:hint="eastAsia" w:ascii="仿宋" w:hAnsi="仿宋" w:eastAsia="仿宋"/>
          <w:b/>
          <w:color w:val="000000"/>
          <w:sz w:val="32"/>
          <w:szCs w:val="32"/>
        </w:rPr>
        <w:t>社会保障和就业</w:t>
      </w:r>
      <w:r>
        <w:rPr>
          <w:rFonts w:hint="eastAsia" w:ascii="仿宋" w:hAnsi="仿宋" w:eastAsia="仿宋"/>
          <w:b/>
          <w:color w:val="000000"/>
          <w:sz w:val="32"/>
          <w:szCs w:val="32"/>
          <w:lang w:eastAsia="zh-CN"/>
        </w:rPr>
        <w:t>支出</w:t>
      </w:r>
      <w:r>
        <w:rPr>
          <w:rStyle w:val="13"/>
          <w:rFonts w:hint="eastAsia" w:ascii="仿宋" w:hAnsi="仿宋" w:eastAsia="仿宋"/>
          <w:bCs/>
          <w:color w:val="000000"/>
          <w:sz w:val="32"/>
          <w:szCs w:val="32"/>
        </w:rPr>
        <w:t>（类）行政事业单位养老支出（款）机关事业单位基本养老保险缴费支出（项）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15.5</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Style w:val="13"/>
          <w:rFonts w:hint="eastAsia" w:ascii="仿宋" w:hAnsi="仿宋" w:eastAsia="仿宋"/>
          <w:b w:val="0"/>
          <w:bCs/>
          <w:color w:val="000000"/>
          <w:sz w:val="32"/>
          <w:szCs w:val="32"/>
        </w:rPr>
      </w:pPr>
      <w:r>
        <w:rPr>
          <w:rFonts w:hint="eastAsia" w:ascii="仿宋" w:hAnsi="仿宋" w:eastAsia="仿宋"/>
          <w:b/>
          <w:color w:val="000000"/>
          <w:sz w:val="32"/>
          <w:szCs w:val="32"/>
          <w:lang w:val="en-US" w:eastAsia="zh-CN"/>
        </w:rPr>
        <w:t>4.</w:t>
      </w:r>
      <w:r>
        <w:rPr>
          <w:rFonts w:hint="eastAsia" w:ascii="仿宋" w:hAnsi="仿宋" w:eastAsia="仿宋"/>
          <w:b/>
          <w:color w:val="000000"/>
          <w:sz w:val="32"/>
          <w:szCs w:val="32"/>
        </w:rPr>
        <w:t>社会保障和就业</w:t>
      </w:r>
      <w:r>
        <w:rPr>
          <w:rFonts w:hint="eastAsia" w:ascii="仿宋" w:hAnsi="仿宋" w:eastAsia="仿宋"/>
          <w:b/>
          <w:color w:val="000000"/>
          <w:sz w:val="32"/>
          <w:szCs w:val="32"/>
          <w:lang w:eastAsia="zh-CN"/>
        </w:rPr>
        <w:t>支出</w:t>
      </w:r>
      <w:r>
        <w:rPr>
          <w:rStyle w:val="13"/>
          <w:rFonts w:hint="eastAsia" w:ascii="仿宋" w:hAnsi="仿宋" w:eastAsia="仿宋"/>
          <w:bCs/>
          <w:color w:val="000000"/>
          <w:sz w:val="32"/>
          <w:szCs w:val="32"/>
        </w:rPr>
        <w:t>（类）行政事业单位养老支出（款）其他行政事业单位养老支出（项）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0.7</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numPr>
          <w:ilvl w:val="0"/>
          <w:numId w:val="0"/>
        </w:numPr>
        <w:spacing w:line="600" w:lineRule="exact"/>
        <w:ind w:firstLine="643" w:firstLineChars="200"/>
        <w:rPr>
          <w:rStyle w:val="13"/>
          <w:rFonts w:hint="eastAsia" w:ascii="仿宋" w:hAnsi="仿宋" w:eastAsia="仿宋"/>
          <w:b w:val="0"/>
          <w:bCs/>
          <w:color w:val="000000"/>
          <w:sz w:val="32"/>
          <w:szCs w:val="32"/>
        </w:rPr>
      </w:pPr>
      <w:r>
        <w:rPr>
          <w:rFonts w:hint="eastAsia" w:ascii="仿宋" w:hAnsi="仿宋" w:eastAsia="仿宋"/>
          <w:b/>
          <w:bCs/>
          <w:color w:val="000000"/>
          <w:sz w:val="32"/>
          <w:szCs w:val="32"/>
          <w:lang w:val="en-US" w:eastAsia="zh-CN"/>
        </w:rPr>
        <w:t>5.</w:t>
      </w:r>
      <w:r>
        <w:rPr>
          <w:rFonts w:hint="eastAsia" w:ascii="仿宋" w:hAnsi="仿宋" w:eastAsia="仿宋"/>
          <w:b/>
          <w:bCs/>
          <w:color w:val="000000"/>
          <w:sz w:val="32"/>
          <w:szCs w:val="32"/>
        </w:rPr>
        <w:t>卫生健康支出</w:t>
      </w:r>
      <w:r>
        <w:rPr>
          <w:rStyle w:val="13"/>
          <w:rFonts w:hint="eastAsia" w:ascii="仿宋" w:hAnsi="仿宋" w:eastAsia="仿宋"/>
          <w:bCs/>
          <w:color w:val="000000"/>
          <w:sz w:val="32"/>
          <w:szCs w:val="32"/>
        </w:rPr>
        <w:t>（类）行政事业单位医疗（款）行政单位医疗（项）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8.8</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Style w:val="13"/>
          <w:rFonts w:hint="eastAsia" w:ascii="仿宋" w:hAnsi="仿宋" w:eastAsia="仿宋"/>
          <w:b w:val="0"/>
          <w:bCs/>
          <w:color w:val="000000"/>
          <w:sz w:val="32"/>
          <w:szCs w:val="32"/>
        </w:rPr>
      </w:pPr>
      <w:r>
        <w:rPr>
          <w:rFonts w:hint="eastAsia" w:ascii="仿宋" w:hAnsi="仿宋" w:eastAsia="仿宋"/>
          <w:b/>
          <w:bCs/>
          <w:color w:val="000000"/>
          <w:sz w:val="32"/>
          <w:szCs w:val="32"/>
          <w:lang w:val="en-US" w:eastAsia="zh-CN"/>
        </w:rPr>
        <w:t>6.</w:t>
      </w:r>
      <w:r>
        <w:rPr>
          <w:rFonts w:hint="eastAsia" w:ascii="仿宋" w:hAnsi="仿宋" w:eastAsia="仿宋"/>
          <w:b/>
          <w:bCs/>
          <w:color w:val="000000"/>
          <w:sz w:val="32"/>
          <w:szCs w:val="32"/>
        </w:rPr>
        <w:t>卫生健康支出</w:t>
      </w:r>
      <w:r>
        <w:rPr>
          <w:rStyle w:val="13"/>
          <w:rFonts w:hint="eastAsia" w:ascii="仿宋" w:hAnsi="仿宋" w:eastAsia="仿宋"/>
          <w:bCs/>
          <w:color w:val="000000"/>
          <w:sz w:val="32"/>
          <w:szCs w:val="32"/>
        </w:rPr>
        <w:t>（类）行政事业单位医疗（款）公务员医疗补助（项）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2.1</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numPr>
          <w:ilvl w:val="0"/>
          <w:numId w:val="0"/>
        </w:numPr>
        <w:spacing w:line="600" w:lineRule="exact"/>
        <w:ind w:firstLine="643" w:firstLineChars="200"/>
        <w:rPr>
          <w:rStyle w:val="13"/>
          <w:rFonts w:hint="eastAsia" w:ascii="仿宋" w:hAnsi="仿宋" w:eastAsia="仿宋"/>
          <w:b w:val="0"/>
          <w:bCs/>
          <w:color w:val="000000"/>
          <w:sz w:val="32"/>
          <w:szCs w:val="32"/>
        </w:rPr>
      </w:pPr>
      <w:r>
        <w:rPr>
          <w:rFonts w:hint="eastAsia" w:ascii="仿宋" w:hAnsi="仿宋" w:eastAsia="仿宋"/>
          <w:b/>
          <w:bCs/>
          <w:color w:val="000000"/>
          <w:sz w:val="32"/>
          <w:szCs w:val="32"/>
          <w:lang w:val="en-US" w:eastAsia="zh-CN"/>
        </w:rPr>
        <w:t>7.</w:t>
      </w:r>
      <w:r>
        <w:rPr>
          <w:rFonts w:hint="eastAsia" w:ascii="仿宋" w:hAnsi="仿宋" w:eastAsia="仿宋"/>
          <w:b/>
          <w:bCs/>
          <w:color w:val="000000"/>
          <w:sz w:val="32"/>
          <w:szCs w:val="32"/>
        </w:rPr>
        <w:t>节能环保支出</w:t>
      </w:r>
      <w:r>
        <w:rPr>
          <w:rStyle w:val="13"/>
          <w:rFonts w:hint="eastAsia" w:ascii="仿宋" w:hAnsi="仿宋" w:eastAsia="仿宋"/>
          <w:bCs/>
          <w:color w:val="000000"/>
          <w:sz w:val="32"/>
          <w:szCs w:val="32"/>
        </w:rPr>
        <w:t>（类）污染防治（款）大气（项）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294.49</w:t>
      </w:r>
      <w:r>
        <w:rPr>
          <w:rStyle w:val="13"/>
          <w:rFonts w:hint="eastAsia" w:ascii="仿宋" w:hAnsi="仿宋" w:eastAsia="仿宋"/>
          <w:b w:val="0"/>
          <w:bCs/>
          <w:color w:val="000000"/>
          <w:sz w:val="32"/>
          <w:szCs w:val="32"/>
        </w:rPr>
        <w:t>万元，</w:t>
      </w:r>
      <w:r>
        <w:rPr>
          <w:rStyle w:val="13"/>
          <w:rFonts w:hint="eastAsia" w:ascii="仿宋" w:hAnsi="仿宋" w:eastAsia="仿宋"/>
          <w:b w:val="0"/>
          <w:bCs/>
          <w:color w:val="000000"/>
          <w:sz w:val="32"/>
          <w:szCs w:val="32"/>
          <w:highlight w:val="none"/>
        </w:rPr>
        <w:t>完成预算</w:t>
      </w:r>
      <w:r>
        <w:rPr>
          <w:rStyle w:val="13"/>
          <w:rFonts w:hint="eastAsia" w:ascii="仿宋" w:hAnsi="仿宋" w:eastAsia="仿宋"/>
          <w:b w:val="0"/>
          <w:bCs/>
          <w:color w:val="000000"/>
          <w:sz w:val="32"/>
          <w:szCs w:val="32"/>
          <w:highlight w:val="none"/>
          <w:lang w:val="en-US" w:eastAsia="zh-CN"/>
        </w:rPr>
        <w:t>98.1</w:t>
      </w:r>
      <w:r>
        <w:rPr>
          <w:rStyle w:val="13"/>
          <w:rFonts w:ascii="仿宋" w:hAnsi="仿宋" w:eastAsia="仿宋"/>
          <w:b w:val="0"/>
          <w:bCs/>
          <w:color w:val="000000"/>
          <w:sz w:val="32"/>
          <w:szCs w:val="32"/>
          <w:highlight w:val="none"/>
        </w:rPr>
        <w:t>%</w:t>
      </w:r>
      <w:r>
        <w:rPr>
          <w:rStyle w:val="13"/>
          <w:rFonts w:hint="eastAsia" w:ascii="仿宋" w:hAnsi="仿宋" w:eastAsia="仿宋"/>
          <w:b w:val="0"/>
          <w:bCs/>
          <w:color w:val="000000"/>
          <w:sz w:val="32"/>
          <w:szCs w:val="32"/>
          <w:highlight w:val="none"/>
        </w:rPr>
        <w:t>。</w:t>
      </w:r>
      <w:r>
        <w:rPr>
          <w:rStyle w:val="13"/>
          <w:rFonts w:hint="eastAsia" w:ascii="仿宋_GB2312" w:eastAsia="仿宋_GB2312"/>
          <w:b w:val="0"/>
          <w:bCs/>
          <w:color w:val="auto"/>
          <w:sz w:val="32"/>
          <w:szCs w:val="32"/>
          <w:highlight w:val="none"/>
        </w:rPr>
        <w:t>决算数小于预算数的主要原因是</w:t>
      </w:r>
      <w:r>
        <w:rPr>
          <w:rStyle w:val="13"/>
          <w:rFonts w:hint="eastAsia" w:ascii="仿宋_GB2312" w:eastAsia="仿宋_GB2312"/>
          <w:b w:val="0"/>
          <w:bCs/>
          <w:color w:val="auto"/>
          <w:sz w:val="32"/>
          <w:szCs w:val="32"/>
          <w:highlight w:val="none"/>
          <w:lang w:eastAsia="zh-CN"/>
        </w:rPr>
        <w:t>年终结算部分费用未支付</w:t>
      </w:r>
      <w:r>
        <w:rPr>
          <w:rStyle w:val="13"/>
          <w:rFonts w:hint="eastAsia" w:ascii="仿宋_GB2312" w:eastAsia="仿宋_GB2312"/>
          <w:b w:val="0"/>
          <w:bCs/>
          <w:color w:val="auto"/>
          <w:sz w:val="32"/>
          <w:szCs w:val="32"/>
          <w:highlight w:val="none"/>
          <w:lang w:val="en-US" w:eastAsia="zh-CN"/>
        </w:rPr>
        <w:t>，结转下年度支付</w:t>
      </w:r>
      <w:r>
        <w:rPr>
          <w:rStyle w:val="13"/>
          <w:rFonts w:hint="eastAsia" w:ascii="仿宋_GB2312" w:eastAsia="仿宋_GB2312"/>
          <w:b w:val="0"/>
          <w:bCs/>
          <w:color w:val="auto"/>
          <w:sz w:val="32"/>
          <w:szCs w:val="32"/>
          <w:highlight w:val="none"/>
        </w:rPr>
        <w:t>。</w:t>
      </w:r>
    </w:p>
    <w:p>
      <w:pPr>
        <w:numPr>
          <w:ilvl w:val="0"/>
          <w:numId w:val="0"/>
        </w:numPr>
        <w:spacing w:line="600" w:lineRule="exact"/>
        <w:ind w:firstLine="643" w:firstLineChars="200"/>
        <w:rPr>
          <w:rStyle w:val="13"/>
          <w:rFonts w:hint="eastAsia" w:ascii="仿宋" w:hAnsi="仿宋" w:eastAsia="仿宋"/>
          <w:b w:val="0"/>
          <w:bCs/>
          <w:color w:val="000000"/>
          <w:sz w:val="32"/>
          <w:szCs w:val="32"/>
        </w:rPr>
      </w:pPr>
      <w:r>
        <w:rPr>
          <w:rFonts w:hint="eastAsia" w:ascii="仿宋" w:hAnsi="仿宋" w:eastAsia="仿宋"/>
          <w:b/>
          <w:bCs/>
          <w:color w:val="000000"/>
          <w:sz w:val="32"/>
          <w:szCs w:val="32"/>
          <w:lang w:val="en-US" w:eastAsia="zh-CN"/>
        </w:rPr>
        <w:t>8.</w:t>
      </w:r>
      <w:r>
        <w:rPr>
          <w:rFonts w:hint="eastAsia" w:ascii="仿宋" w:hAnsi="仿宋" w:eastAsia="仿宋"/>
          <w:b/>
          <w:bCs/>
          <w:color w:val="000000"/>
          <w:sz w:val="32"/>
          <w:szCs w:val="32"/>
        </w:rPr>
        <w:t>节能环保支出</w:t>
      </w:r>
      <w:r>
        <w:rPr>
          <w:rStyle w:val="13"/>
          <w:rFonts w:hint="eastAsia" w:ascii="仿宋" w:hAnsi="仿宋" w:eastAsia="仿宋"/>
          <w:bCs/>
          <w:color w:val="000000"/>
          <w:sz w:val="32"/>
          <w:szCs w:val="32"/>
        </w:rPr>
        <w:t>（类）污染防治（款）</w:t>
      </w:r>
      <w:r>
        <w:rPr>
          <w:rStyle w:val="13"/>
          <w:rFonts w:hint="eastAsia" w:ascii="仿宋" w:hAnsi="仿宋" w:eastAsia="仿宋"/>
          <w:bCs/>
          <w:color w:val="000000"/>
          <w:sz w:val="32"/>
          <w:szCs w:val="32"/>
          <w:lang w:eastAsia="zh-CN"/>
        </w:rPr>
        <w:t>水体</w:t>
      </w:r>
      <w:r>
        <w:rPr>
          <w:rStyle w:val="13"/>
          <w:rFonts w:hint="eastAsia" w:ascii="仿宋" w:hAnsi="仿宋" w:eastAsia="仿宋"/>
          <w:bCs/>
          <w:color w:val="000000"/>
          <w:sz w:val="32"/>
          <w:szCs w:val="32"/>
        </w:rPr>
        <w:t>（项）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200</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numPr>
          <w:ilvl w:val="0"/>
          <w:numId w:val="0"/>
        </w:numPr>
        <w:spacing w:line="600" w:lineRule="exact"/>
        <w:ind w:firstLine="643" w:firstLineChars="200"/>
        <w:rPr>
          <w:rStyle w:val="13"/>
          <w:rFonts w:hint="eastAsia" w:ascii="仿宋" w:hAnsi="仿宋" w:eastAsia="仿宋"/>
          <w:b w:val="0"/>
          <w:bCs/>
          <w:color w:val="000000"/>
          <w:sz w:val="32"/>
          <w:szCs w:val="32"/>
        </w:rPr>
      </w:pPr>
      <w:r>
        <w:rPr>
          <w:rFonts w:hint="eastAsia" w:ascii="仿宋" w:hAnsi="仿宋" w:eastAsia="仿宋"/>
          <w:b/>
          <w:bCs/>
          <w:color w:val="000000"/>
          <w:sz w:val="32"/>
          <w:szCs w:val="32"/>
          <w:lang w:val="en-US" w:eastAsia="zh-CN"/>
        </w:rPr>
        <w:t>9.</w:t>
      </w:r>
      <w:r>
        <w:rPr>
          <w:rFonts w:hint="eastAsia" w:ascii="仿宋" w:hAnsi="仿宋" w:eastAsia="仿宋"/>
          <w:b/>
          <w:bCs/>
          <w:color w:val="000000"/>
          <w:sz w:val="32"/>
          <w:szCs w:val="32"/>
        </w:rPr>
        <w:t>城乡社区支出</w:t>
      </w:r>
      <w:r>
        <w:rPr>
          <w:rStyle w:val="13"/>
          <w:rFonts w:hint="eastAsia" w:ascii="仿宋" w:hAnsi="仿宋" w:eastAsia="仿宋"/>
          <w:bCs/>
          <w:color w:val="000000"/>
          <w:sz w:val="32"/>
          <w:szCs w:val="32"/>
        </w:rPr>
        <w:t>（类）城乡社区管理事务（款）行政运行（项）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199.47</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99.61</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p>
    <w:p>
      <w:pPr>
        <w:spacing w:line="600" w:lineRule="exact"/>
        <w:ind w:firstLine="643" w:firstLineChars="200"/>
        <w:rPr>
          <w:rFonts w:ascii="仿宋" w:hAnsi="仿宋" w:eastAsia="仿宋"/>
          <w:b/>
          <w:color w:val="000000"/>
          <w:sz w:val="32"/>
          <w:szCs w:val="32"/>
        </w:rPr>
      </w:pPr>
      <w:r>
        <w:rPr>
          <w:rFonts w:hint="eastAsia" w:ascii="仿宋" w:hAnsi="仿宋" w:eastAsia="仿宋"/>
          <w:b/>
          <w:bCs/>
          <w:color w:val="000000"/>
          <w:sz w:val="32"/>
          <w:szCs w:val="32"/>
          <w:lang w:val="en-US" w:eastAsia="zh-CN"/>
        </w:rPr>
        <w:t>10.</w:t>
      </w:r>
      <w:r>
        <w:rPr>
          <w:rFonts w:hint="eastAsia" w:ascii="仿宋" w:hAnsi="仿宋" w:eastAsia="仿宋"/>
          <w:b/>
          <w:bCs/>
          <w:color w:val="000000"/>
          <w:sz w:val="32"/>
          <w:szCs w:val="32"/>
        </w:rPr>
        <w:t>城乡社区支出</w:t>
      </w:r>
      <w:r>
        <w:rPr>
          <w:rStyle w:val="13"/>
          <w:rFonts w:hint="eastAsia" w:ascii="仿宋" w:hAnsi="仿宋" w:eastAsia="仿宋"/>
          <w:bCs/>
          <w:color w:val="000000"/>
          <w:sz w:val="32"/>
          <w:szCs w:val="32"/>
        </w:rPr>
        <w:t>（类）城乡社区管理事务（款）一般行政管理事务（项）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45.66</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97.8</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ascii="仿宋_GB2312" w:hAnsi="微软雅黑" w:eastAsia="仿宋_GB2312" w:cs="仿宋_GB2312"/>
          <w:color w:val="000000"/>
          <w:sz w:val="31"/>
          <w:szCs w:val="31"/>
          <w:highlight w:val="none"/>
          <w:shd w:val="clear" w:fill="FFFFFF"/>
        </w:rPr>
        <w:t>决算数</w:t>
      </w:r>
      <w:r>
        <w:rPr>
          <w:rFonts w:hint="eastAsia" w:ascii="仿宋_GB2312" w:hAnsi="微软雅黑" w:eastAsia="仿宋_GB2312" w:cs="仿宋_GB2312"/>
          <w:color w:val="000000"/>
          <w:sz w:val="31"/>
          <w:szCs w:val="31"/>
          <w:highlight w:val="none"/>
          <w:shd w:val="clear" w:fill="FFFFFF"/>
          <w:lang w:eastAsia="zh-CN"/>
        </w:rPr>
        <w:t>小</w:t>
      </w:r>
      <w:r>
        <w:rPr>
          <w:rFonts w:ascii="仿宋_GB2312" w:hAnsi="微软雅黑" w:eastAsia="仿宋_GB2312" w:cs="仿宋_GB2312"/>
          <w:color w:val="000000"/>
          <w:sz w:val="31"/>
          <w:szCs w:val="31"/>
          <w:highlight w:val="none"/>
          <w:shd w:val="clear" w:fill="FFFFFF"/>
        </w:rPr>
        <w:t>于预算数的主要原因是</w:t>
      </w:r>
      <w:r>
        <w:rPr>
          <w:rFonts w:hint="eastAsia" w:ascii="仿宋_GB2312" w:hAnsi="微软雅黑" w:eastAsia="仿宋_GB2312" w:cs="仿宋_GB2312"/>
          <w:color w:val="000000"/>
          <w:sz w:val="31"/>
          <w:szCs w:val="31"/>
          <w:highlight w:val="none"/>
          <w:shd w:val="clear" w:fill="FFFFFF"/>
          <w:lang w:eastAsia="zh-CN"/>
        </w:rPr>
        <w:t>接待费等节支</w:t>
      </w:r>
      <w:r>
        <w:rPr>
          <w:rFonts w:ascii="仿宋_GB2312" w:hAnsi="微软雅黑" w:eastAsia="仿宋_GB2312" w:cs="仿宋_GB2312"/>
          <w:color w:val="000000"/>
          <w:sz w:val="31"/>
          <w:szCs w:val="31"/>
          <w:highlight w:val="none"/>
          <w:shd w:val="clear" w:fill="FFFFFF"/>
        </w:rPr>
        <w:t>。</w:t>
      </w:r>
    </w:p>
    <w:p>
      <w:pPr>
        <w:spacing w:line="600" w:lineRule="exact"/>
        <w:ind w:firstLine="643" w:firstLineChars="200"/>
        <w:rPr>
          <w:rStyle w:val="13"/>
          <w:rFonts w:hint="eastAsia" w:ascii="仿宋_GB2312" w:eastAsia="仿宋_GB2312"/>
          <w:b w:val="0"/>
          <w:bCs/>
          <w:color w:val="auto"/>
          <w:sz w:val="32"/>
          <w:szCs w:val="32"/>
          <w:highlight w:val="none"/>
        </w:rPr>
      </w:pPr>
      <w:r>
        <w:rPr>
          <w:rFonts w:hint="eastAsia" w:ascii="仿宋" w:hAnsi="仿宋" w:eastAsia="仿宋"/>
          <w:b/>
          <w:bCs/>
          <w:color w:val="000000"/>
          <w:sz w:val="32"/>
          <w:szCs w:val="32"/>
          <w:lang w:val="en-US" w:eastAsia="zh-CN"/>
        </w:rPr>
        <w:t>11.</w:t>
      </w:r>
      <w:r>
        <w:rPr>
          <w:rFonts w:hint="eastAsia" w:ascii="仿宋" w:hAnsi="仿宋" w:eastAsia="仿宋"/>
          <w:b/>
          <w:bCs/>
          <w:color w:val="000000"/>
          <w:sz w:val="32"/>
          <w:szCs w:val="32"/>
        </w:rPr>
        <w:t>城乡社区支出</w:t>
      </w:r>
      <w:r>
        <w:rPr>
          <w:rStyle w:val="13"/>
          <w:rFonts w:hint="eastAsia" w:ascii="仿宋" w:hAnsi="仿宋" w:eastAsia="仿宋"/>
          <w:bCs/>
          <w:color w:val="000000"/>
          <w:sz w:val="32"/>
          <w:szCs w:val="32"/>
        </w:rPr>
        <w:t>（类）城乡社区管理事务（款）城管执法（项）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359.74</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83.67</w:t>
      </w:r>
      <w:r>
        <w:rPr>
          <w:rStyle w:val="13"/>
          <w:rFonts w:ascii="仿宋" w:hAnsi="仿宋" w:eastAsia="仿宋"/>
          <w:b w:val="0"/>
          <w:bCs/>
          <w:color w:val="000000"/>
          <w:sz w:val="32"/>
          <w:szCs w:val="32"/>
        </w:rPr>
        <w:t>%</w:t>
      </w:r>
      <w:r>
        <w:rPr>
          <w:rStyle w:val="13"/>
          <w:rFonts w:hint="eastAsia" w:ascii="仿宋" w:hAnsi="仿宋" w:eastAsia="仿宋"/>
          <w:b w:val="0"/>
          <w:bCs/>
          <w:color w:val="auto"/>
          <w:sz w:val="32"/>
          <w:szCs w:val="32"/>
          <w:highlight w:val="none"/>
        </w:rPr>
        <w:t>，</w:t>
      </w:r>
      <w:r>
        <w:rPr>
          <w:rStyle w:val="13"/>
          <w:rFonts w:hint="eastAsia" w:ascii="仿宋_GB2312" w:eastAsia="仿宋_GB2312"/>
          <w:b w:val="0"/>
          <w:bCs/>
          <w:color w:val="auto"/>
          <w:sz w:val="32"/>
          <w:szCs w:val="32"/>
          <w:highlight w:val="none"/>
          <w:lang w:eastAsia="zh-CN"/>
        </w:rPr>
        <w:t>年终结算部分费用未支付</w:t>
      </w:r>
      <w:r>
        <w:rPr>
          <w:rStyle w:val="13"/>
          <w:rFonts w:hint="eastAsia" w:ascii="仿宋_GB2312" w:eastAsia="仿宋_GB2312"/>
          <w:b w:val="0"/>
          <w:bCs/>
          <w:color w:val="auto"/>
          <w:sz w:val="32"/>
          <w:szCs w:val="32"/>
          <w:highlight w:val="none"/>
          <w:lang w:val="en-US" w:eastAsia="zh-CN"/>
        </w:rPr>
        <w:t>，结转下年度支付</w:t>
      </w:r>
      <w:r>
        <w:rPr>
          <w:rStyle w:val="13"/>
          <w:rFonts w:hint="eastAsia" w:ascii="仿宋_GB2312" w:eastAsia="仿宋_GB2312"/>
          <w:b w:val="0"/>
          <w:bCs/>
          <w:color w:val="auto"/>
          <w:sz w:val="32"/>
          <w:szCs w:val="32"/>
          <w:highlight w:val="none"/>
        </w:rPr>
        <w:t>。</w:t>
      </w:r>
    </w:p>
    <w:p>
      <w:pPr>
        <w:spacing w:line="600" w:lineRule="exact"/>
        <w:ind w:firstLine="643" w:firstLineChars="200"/>
        <w:rPr>
          <w:rStyle w:val="13"/>
          <w:rFonts w:hint="eastAsia" w:ascii="仿宋" w:hAnsi="仿宋" w:eastAsia="仿宋"/>
          <w:b w:val="0"/>
          <w:bCs/>
          <w:color w:val="000000"/>
          <w:sz w:val="32"/>
          <w:szCs w:val="32"/>
        </w:rPr>
      </w:pPr>
      <w:r>
        <w:rPr>
          <w:rFonts w:hint="eastAsia" w:ascii="仿宋" w:hAnsi="仿宋" w:eastAsia="仿宋"/>
          <w:b/>
          <w:bCs/>
          <w:color w:val="000000"/>
          <w:sz w:val="32"/>
          <w:szCs w:val="32"/>
          <w:lang w:val="en-US" w:eastAsia="zh-CN"/>
        </w:rPr>
        <w:t>12.</w:t>
      </w:r>
      <w:r>
        <w:rPr>
          <w:rFonts w:hint="eastAsia" w:ascii="仿宋" w:hAnsi="仿宋" w:eastAsia="仿宋"/>
          <w:b/>
          <w:bCs/>
          <w:color w:val="000000"/>
          <w:sz w:val="32"/>
          <w:szCs w:val="32"/>
        </w:rPr>
        <w:t>城乡社区支出</w:t>
      </w:r>
      <w:r>
        <w:rPr>
          <w:rStyle w:val="13"/>
          <w:rFonts w:hint="eastAsia" w:ascii="仿宋" w:hAnsi="仿宋" w:eastAsia="仿宋"/>
          <w:bCs/>
          <w:color w:val="000000"/>
          <w:sz w:val="32"/>
          <w:szCs w:val="32"/>
        </w:rPr>
        <w:t>（类）城乡社区管理事务（款）其他城乡社区管理事务支出（项）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25</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hint="eastAsia" w:ascii="仿宋" w:hAnsi="仿宋" w:eastAsia="仿宋"/>
          <w:bCs/>
          <w:color w:val="000000"/>
          <w:sz w:val="32"/>
          <w:szCs w:val="32"/>
          <w:lang w:val="en-US" w:eastAsia="zh-CN"/>
        </w:rPr>
        <w:t>13.</w:t>
      </w:r>
      <w:r>
        <w:rPr>
          <w:rFonts w:hint="eastAsia" w:ascii="仿宋" w:hAnsi="仿宋" w:eastAsia="仿宋"/>
          <w:b/>
          <w:bCs/>
          <w:color w:val="000000"/>
          <w:sz w:val="32"/>
          <w:szCs w:val="32"/>
        </w:rPr>
        <w:t>农林水支出</w:t>
      </w:r>
      <w:r>
        <w:rPr>
          <w:rStyle w:val="13"/>
          <w:rFonts w:hint="eastAsia" w:ascii="仿宋" w:hAnsi="仿宋" w:eastAsia="仿宋"/>
          <w:bCs/>
          <w:color w:val="000000"/>
          <w:sz w:val="32"/>
          <w:szCs w:val="32"/>
        </w:rPr>
        <w:t>（类）扶贫（款）其他扶贫支出（项）</w:t>
      </w:r>
      <w:r>
        <w:rPr>
          <w:rStyle w:val="13"/>
          <w:rFonts w:hint="eastAsia" w:ascii="仿宋" w:hAnsi="仿宋" w:eastAsia="仿宋"/>
          <w:bCs/>
          <w:color w:val="000000"/>
          <w:sz w:val="32"/>
          <w:szCs w:val="32"/>
          <w:lang w:eastAsia="zh-CN"/>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0.57</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color w:val="000000"/>
          <w:sz w:val="32"/>
          <w:szCs w:val="32"/>
        </w:rPr>
      </w:pPr>
      <w:r>
        <w:rPr>
          <w:rFonts w:hint="eastAsia" w:ascii="仿宋" w:hAnsi="仿宋" w:eastAsia="仿宋"/>
          <w:b/>
          <w:bCs/>
          <w:color w:val="000000"/>
          <w:sz w:val="32"/>
          <w:szCs w:val="32"/>
          <w:lang w:val="en-US" w:eastAsia="zh-CN"/>
        </w:rPr>
        <w:t>14.</w:t>
      </w:r>
      <w:r>
        <w:rPr>
          <w:rFonts w:hint="eastAsia" w:ascii="仿宋" w:hAnsi="仿宋" w:eastAsia="仿宋"/>
          <w:b/>
          <w:bCs/>
          <w:color w:val="000000"/>
          <w:sz w:val="32"/>
          <w:szCs w:val="32"/>
        </w:rPr>
        <w:t>住房保障支出</w:t>
      </w:r>
      <w:r>
        <w:rPr>
          <w:rStyle w:val="13"/>
          <w:rFonts w:hint="eastAsia" w:ascii="仿宋" w:hAnsi="仿宋" w:eastAsia="仿宋"/>
          <w:bCs/>
          <w:color w:val="000000"/>
          <w:sz w:val="32"/>
          <w:szCs w:val="32"/>
        </w:rPr>
        <w:t>（类）住房改革支出（款）住房公积金（项）</w:t>
      </w:r>
      <w:r>
        <w:rPr>
          <w:rStyle w:val="13"/>
          <w:rFonts w:hint="eastAsia" w:ascii="仿宋" w:hAnsi="仿宋" w:eastAsia="仿宋"/>
          <w:bCs/>
          <w:color w:val="000000"/>
          <w:sz w:val="32"/>
          <w:szCs w:val="32"/>
          <w:lang w:eastAsia="zh-CN"/>
        </w:rPr>
        <w:t>：</w:t>
      </w:r>
      <w:r>
        <w:rPr>
          <w:rStyle w:val="13"/>
          <w:rFonts w:hint="eastAsia" w:ascii="仿宋" w:hAnsi="仿宋" w:eastAsia="仿宋"/>
          <w:b w:val="0"/>
          <w:bCs/>
          <w:color w:val="000000"/>
          <w:sz w:val="32"/>
          <w:szCs w:val="32"/>
        </w:rPr>
        <w:t>支出决算为</w:t>
      </w:r>
      <w:r>
        <w:rPr>
          <w:rStyle w:val="13"/>
          <w:rFonts w:hint="eastAsia" w:ascii="仿宋" w:hAnsi="仿宋" w:eastAsia="仿宋"/>
          <w:b w:val="0"/>
          <w:bCs/>
          <w:color w:val="000000"/>
          <w:sz w:val="32"/>
          <w:szCs w:val="32"/>
          <w:lang w:val="en-US" w:eastAsia="zh-CN"/>
        </w:rPr>
        <w:t>17.32</w:t>
      </w:r>
      <w:r>
        <w:rPr>
          <w:rStyle w:val="13"/>
          <w:rFonts w:hint="eastAsia" w:ascii="仿宋" w:hAnsi="仿宋" w:eastAsia="仿宋"/>
          <w:b w:val="0"/>
          <w:bCs/>
          <w:color w:val="000000"/>
          <w:sz w:val="32"/>
          <w:szCs w:val="32"/>
        </w:rPr>
        <w:t>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tabs>
          <w:tab w:val="right" w:pos="8306"/>
        </w:tabs>
        <w:spacing w:line="600" w:lineRule="exact"/>
        <w:ind w:firstLine="640"/>
        <w:outlineLvl w:val="1"/>
        <w:rPr>
          <w:rStyle w:val="16"/>
        </w:rPr>
      </w:pPr>
      <w:bookmarkStart w:id="59" w:name="_Toc14789"/>
      <w:bookmarkStart w:id="60" w:name="_Toc15377214"/>
      <w:bookmarkStart w:id="6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6"/>
          <w:rFonts w:hint="eastAsia" w:ascii="黑体" w:hAnsi="黑体" w:eastAsia="黑体"/>
          <w:b w:val="0"/>
        </w:rPr>
        <w:t>般公共预算财政拨款基本支出决算情况说明</w:t>
      </w:r>
      <w:bookmarkEnd w:id="59"/>
      <w:bookmarkEnd w:id="60"/>
      <w:bookmarkEnd w:id="61"/>
      <w:r>
        <w:rPr>
          <w:rStyle w:val="1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245.34</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204.4</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40.93</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FF0000"/>
          <w:sz w:val="32"/>
          <w:szCs w:val="32"/>
        </w:rPr>
      </w:pPr>
    </w:p>
    <w:p>
      <w:pPr>
        <w:spacing w:line="600" w:lineRule="exact"/>
        <w:ind w:firstLine="640"/>
        <w:outlineLvl w:val="1"/>
        <w:rPr>
          <w:rStyle w:val="16"/>
          <w:rFonts w:ascii="黑体" w:hAnsi="黑体" w:eastAsia="黑体"/>
          <w:b w:val="0"/>
        </w:rPr>
      </w:pPr>
      <w:bookmarkStart w:id="62" w:name="_Toc15396609"/>
      <w:bookmarkStart w:id="63" w:name="_Toc15377215"/>
      <w:bookmarkStart w:id="64" w:name="_Toc23018"/>
      <w:r>
        <w:rPr>
          <w:rFonts w:hint="eastAsia" w:ascii="黑体" w:eastAsia="黑体"/>
          <w:color w:val="000000"/>
          <w:sz w:val="32"/>
          <w:szCs w:val="32"/>
        </w:rPr>
        <w:t>七、</w:t>
      </w:r>
      <w:r>
        <w:rPr>
          <w:rStyle w:val="16"/>
          <w:rFonts w:hint="eastAsia" w:ascii="黑体" w:hAnsi="黑体" w:eastAsia="黑体"/>
        </w:rPr>
        <w:t>“</w:t>
      </w:r>
      <w:r>
        <w:rPr>
          <w:rStyle w:val="16"/>
          <w:rFonts w:hint="eastAsia" w:ascii="黑体" w:hAnsi="黑体" w:eastAsia="黑体"/>
          <w:b w:val="0"/>
        </w:rPr>
        <w:t>三公”经费财政拨款支出决算情况说明</w:t>
      </w:r>
      <w:bookmarkEnd w:id="62"/>
      <w:bookmarkEnd w:id="63"/>
      <w:bookmarkEnd w:id="64"/>
    </w:p>
    <w:p>
      <w:pPr>
        <w:spacing w:line="600" w:lineRule="exact"/>
        <w:ind w:firstLine="640"/>
        <w:outlineLvl w:val="2"/>
        <w:rPr>
          <w:rFonts w:ascii="仿宋" w:hAnsi="仿宋" w:eastAsia="仿宋"/>
          <w:b/>
          <w:color w:val="000000"/>
          <w:sz w:val="32"/>
          <w:szCs w:val="32"/>
        </w:rPr>
      </w:pPr>
      <w:bookmarkStart w:id="65" w:name="_Toc15377216"/>
      <w:bookmarkStart w:id="66" w:name="_Toc24031"/>
      <w:r>
        <w:rPr>
          <w:rFonts w:hint="eastAsia" w:ascii="仿宋" w:hAnsi="仿宋" w:eastAsia="仿宋"/>
          <w:b/>
          <w:color w:val="000000"/>
          <w:sz w:val="32"/>
          <w:szCs w:val="32"/>
        </w:rPr>
        <w:t>（一）“三公”经费财政拨款支出决算总体情况说明</w:t>
      </w:r>
      <w:bookmarkEnd w:id="65"/>
      <w:bookmarkEnd w:id="66"/>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4.4</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69.84</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w:t>
      </w:r>
      <w:r>
        <w:rPr>
          <w:rFonts w:hint="eastAsia" w:ascii="仿宋" w:hAnsi="仿宋" w:eastAsia="仿宋"/>
          <w:color w:val="000000"/>
          <w:sz w:val="32"/>
          <w:szCs w:val="32"/>
          <w:lang w:eastAsia="zh-CN"/>
        </w:rPr>
        <w:t>接待费支出的节支</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67" w:name="_Toc15377217"/>
      <w:bookmarkStart w:id="68" w:name="_Toc1533"/>
      <w:r>
        <w:rPr>
          <w:rFonts w:hint="eastAsia" w:ascii="仿宋" w:hAnsi="仿宋" w:eastAsia="仿宋"/>
          <w:b/>
          <w:color w:val="000000"/>
          <w:sz w:val="32"/>
          <w:szCs w:val="32"/>
        </w:rPr>
        <w:t>（二）“三公”经费财政拨款支出决算具体情况说明</w:t>
      </w:r>
      <w:bookmarkEnd w:id="67"/>
      <w:bookmarkEnd w:id="6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3.9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88.64</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11.36</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highlight w:val="yellow"/>
        </w:rPr>
      </w:pPr>
    </w:p>
    <w:p>
      <w:pPr>
        <w:numPr>
          <w:ilvl w:val="0"/>
          <w:numId w:val="2"/>
        </w:num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numPr>
          <w:ilvl w:val="0"/>
          <w:numId w:val="2"/>
        </w:num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3.9</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0.3</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8.3</w:t>
      </w:r>
      <w:r>
        <w:rPr>
          <w:rFonts w:ascii="仿宋_GB2312" w:eastAsia="仿宋_GB2312"/>
          <w:color w:val="000000"/>
          <w:sz w:val="32"/>
          <w:szCs w:val="32"/>
        </w:rPr>
        <w:t>%</w:t>
      </w:r>
      <w:r>
        <w:rPr>
          <w:rFonts w:hint="eastAsia" w:ascii="仿宋_GB2312" w:eastAsia="仿宋_GB2312"/>
          <w:color w:val="000000"/>
          <w:sz w:val="32"/>
          <w:szCs w:val="32"/>
        </w:rPr>
        <w:t>。主要原因是公务用车运行维护费</w:t>
      </w:r>
      <w:r>
        <w:rPr>
          <w:rFonts w:hint="eastAsia" w:ascii="仿宋_GB2312" w:eastAsia="仿宋_GB2312"/>
          <w:color w:val="000000"/>
          <w:sz w:val="32"/>
          <w:szCs w:val="32"/>
          <w:lang w:eastAsia="zh-CN"/>
        </w:rPr>
        <w:t>增加</w:t>
      </w:r>
      <w:r>
        <w:rPr>
          <w:rFonts w:hint="eastAsia" w:ascii="仿宋_GB2312" w:eastAsia="仿宋_GB2312"/>
          <w:color w:val="000000"/>
          <w:sz w:val="32"/>
          <w:szCs w:val="32"/>
        </w:rPr>
        <w:t>。</w:t>
      </w:r>
    </w:p>
    <w:p>
      <w:pPr>
        <w:spacing w:line="600" w:lineRule="exact"/>
        <w:ind w:firstLine="640" w:firstLineChars="200"/>
        <w:rPr>
          <w:rFonts w:hint="eastAsia" w:ascii="仿宋_GB2312" w:eastAsia="仿宋_GB2312"/>
          <w:b/>
          <w:color w:val="000000"/>
          <w:sz w:val="32"/>
          <w:szCs w:val="32"/>
          <w:lang w:eastAsia="zh-CN"/>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辆，其中：应急保障用车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3.9</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城管执法</w:t>
      </w:r>
      <w:r>
        <w:rPr>
          <w:rFonts w:hint="eastAsia" w:ascii="仿宋_GB2312" w:eastAsia="仿宋_GB2312"/>
          <w:color w:val="000000"/>
          <w:sz w:val="32"/>
          <w:szCs w:val="32"/>
        </w:rPr>
        <w:t>等所需的公务用车燃料费、维修费、过路过桥费、保险费等支出。</w:t>
      </w:r>
      <w:r>
        <w:rPr>
          <w:rFonts w:hint="eastAsia" w:ascii="仿宋_GB2312" w:eastAsia="仿宋_GB2312"/>
          <w:color w:val="000000"/>
          <w:sz w:val="32"/>
          <w:szCs w:val="32"/>
          <w:lang w:eastAsia="zh-CN"/>
        </w:rPr>
        <w:t>公务用车运行维护费支出决算比</w:t>
      </w:r>
      <w:r>
        <w:rPr>
          <w:rFonts w:hint="eastAsia" w:ascii="仿宋_GB2312" w:eastAsia="仿宋_GB2312"/>
          <w:color w:val="000000"/>
          <w:sz w:val="32"/>
          <w:szCs w:val="32"/>
          <w:lang w:val="en-US" w:eastAsia="zh-CN"/>
        </w:rPr>
        <w:t>2019年增加0.3万元，主要原因是车辆老化，维护成本增加。</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0.5</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0.08</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13.8</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严格执行压减一般性支出规定</w:t>
      </w:r>
      <w:r>
        <w:rPr>
          <w:rFonts w:hint="eastAsia" w:ascii="仿宋_GB2312" w:eastAsia="仿宋_GB2312"/>
          <w:color w:val="000000"/>
          <w:sz w:val="32"/>
          <w:szCs w:val="32"/>
        </w:rPr>
        <w:t>。其中：</w:t>
      </w:r>
    </w:p>
    <w:p>
      <w:pPr>
        <w:spacing w:line="600" w:lineRule="exact"/>
        <w:ind w:firstLine="640"/>
        <w:rPr>
          <w:rFonts w:hint="eastAsia"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0.5</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执法业务交流</w:t>
      </w:r>
      <w:r>
        <w:rPr>
          <w:rFonts w:hint="eastAsia" w:ascii="仿宋_GB2312" w:eastAsia="仿宋_GB2312"/>
          <w:color w:val="000000"/>
          <w:sz w:val="32"/>
          <w:szCs w:val="32"/>
        </w:rPr>
        <w:t>活动开支的交通费、住宿费、用餐费等。</w:t>
      </w:r>
      <w:bookmarkStart w:id="69" w:name="_Toc15396610"/>
      <w:bookmarkStart w:id="70" w:name="_Toc15377218"/>
    </w:p>
    <w:p>
      <w:pPr>
        <w:spacing w:line="600" w:lineRule="exact"/>
        <w:ind w:firstLine="640"/>
        <w:rPr>
          <w:rFonts w:hint="eastAsia" w:ascii="仿宋_GB2312" w:eastAsia="仿宋_GB2312"/>
          <w:color w:val="000000"/>
          <w:sz w:val="32"/>
          <w:szCs w:val="32"/>
        </w:rPr>
      </w:pPr>
    </w:p>
    <w:p>
      <w:pPr>
        <w:spacing w:line="600" w:lineRule="exact"/>
        <w:ind w:firstLine="640"/>
        <w:outlineLvl w:val="1"/>
        <w:rPr>
          <w:rStyle w:val="16"/>
          <w:rFonts w:ascii="黑体" w:hAnsi="黑体" w:eastAsia="黑体"/>
        </w:rPr>
      </w:pPr>
      <w:bookmarkStart w:id="71" w:name="_Toc3614"/>
      <w:r>
        <w:rPr>
          <w:rFonts w:hint="eastAsia" w:ascii="黑体" w:eastAsia="黑体"/>
          <w:color w:val="000000"/>
          <w:sz w:val="32"/>
          <w:szCs w:val="32"/>
        </w:rPr>
        <w:t>八、</w:t>
      </w:r>
      <w:r>
        <w:rPr>
          <w:rStyle w:val="16"/>
          <w:rFonts w:hint="eastAsia" w:ascii="黑体" w:hAnsi="黑体" w:eastAsia="黑体"/>
          <w:b w:val="0"/>
        </w:rPr>
        <w:t>政府性基金预算支出决算情况说明</w:t>
      </w:r>
      <w:bookmarkEnd w:id="69"/>
      <w:bookmarkEnd w:id="70"/>
      <w:bookmarkEnd w:id="7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997</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16"/>
          <w:rFonts w:ascii="黑体" w:hAnsi="黑体" w:eastAsia="黑体"/>
          <w:b w:val="0"/>
        </w:rPr>
      </w:pPr>
      <w:bookmarkStart w:id="72" w:name="_Toc15396611"/>
      <w:bookmarkStart w:id="73" w:name="_Toc15377219"/>
      <w:bookmarkStart w:id="74" w:name="_Toc24316"/>
      <w:r>
        <w:rPr>
          <w:rStyle w:val="16"/>
          <w:rFonts w:hint="eastAsia" w:ascii="黑体" w:hAnsi="黑体" w:eastAsia="黑体"/>
          <w:b w:val="0"/>
        </w:rPr>
        <w:t>国有资本经营预算支出决算情况说明</w:t>
      </w:r>
      <w:bookmarkEnd w:id="72"/>
      <w:bookmarkEnd w:id="73"/>
      <w:bookmarkEnd w:id="74"/>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16"/>
          <w:rFonts w:ascii="黑体" w:hAnsi="黑体" w:eastAsia="黑体"/>
        </w:rPr>
      </w:pPr>
      <w:bookmarkStart w:id="75" w:name="_Toc15396612"/>
      <w:bookmarkStart w:id="76" w:name="_Toc15377221"/>
      <w:bookmarkStart w:id="77" w:name="_Toc12436"/>
      <w:r>
        <w:rPr>
          <w:rFonts w:hint="eastAsia" w:ascii="黑体" w:hAnsi="黑体" w:eastAsia="黑体"/>
          <w:color w:val="000000"/>
          <w:sz w:val="32"/>
          <w:szCs w:val="32"/>
        </w:rPr>
        <w:t>十</w:t>
      </w:r>
      <w:r>
        <w:rPr>
          <w:rStyle w:val="16"/>
          <w:rFonts w:hint="eastAsia" w:ascii="黑体" w:hAnsi="黑体" w:eastAsia="黑体"/>
        </w:rPr>
        <w:t>、</w:t>
      </w:r>
      <w:r>
        <w:rPr>
          <w:rStyle w:val="16"/>
          <w:rFonts w:hint="eastAsia" w:ascii="黑体" w:hAnsi="黑体" w:eastAsia="黑体"/>
          <w:b w:val="0"/>
        </w:rPr>
        <w:t>其他重要事项的情况说明</w:t>
      </w:r>
      <w:bookmarkEnd w:id="75"/>
      <w:bookmarkEnd w:id="76"/>
      <w:bookmarkEnd w:id="77"/>
    </w:p>
    <w:p>
      <w:pPr>
        <w:spacing w:line="600" w:lineRule="exact"/>
        <w:ind w:firstLine="643" w:firstLineChars="200"/>
        <w:outlineLvl w:val="2"/>
        <w:rPr>
          <w:rFonts w:ascii="仿宋" w:hAnsi="仿宋" w:eastAsia="仿宋"/>
          <w:color w:val="000000"/>
          <w:sz w:val="32"/>
          <w:szCs w:val="32"/>
        </w:rPr>
      </w:pPr>
      <w:bookmarkStart w:id="78" w:name="_Toc15377222"/>
      <w:bookmarkStart w:id="79" w:name="_Toc12132"/>
      <w:r>
        <w:rPr>
          <w:rFonts w:hint="eastAsia" w:ascii="仿宋" w:hAnsi="仿宋" w:eastAsia="仿宋"/>
          <w:b/>
          <w:color w:val="000000"/>
          <w:sz w:val="32"/>
          <w:szCs w:val="32"/>
        </w:rPr>
        <w:t>（一）机关运行经费支出情况</w:t>
      </w:r>
      <w:bookmarkEnd w:id="78"/>
      <w:bookmarkEnd w:id="79"/>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年，机关运行经费支出</w:t>
      </w:r>
      <w:r>
        <w:rPr>
          <w:rFonts w:hint="eastAsia" w:ascii="仿宋_GB2312" w:eastAsia="仿宋_GB2312"/>
          <w:color w:val="000000"/>
          <w:sz w:val="32"/>
          <w:szCs w:val="32"/>
          <w:lang w:val="en-US" w:eastAsia="zh-CN"/>
        </w:rPr>
        <w:t>40.93</w:t>
      </w:r>
      <w:r>
        <w:rPr>
          <w:rFonts w:hint="eastAsia" w:ascii="仿宋_GB2312" w:eastAsia="仿宋_GB2312"/>
          <w:color w:val="000000"/>
          <w:sz w:val="32"/>
          <w:szCs w:val="32"/>
        </w:rPr>
        <w:t>万元，比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10.79</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35.8</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2020年人员增加。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0" w:name="_Toc15377223"/>
      <w:bookmarkStart w:id="81" w:name="_Toc22426"/>
      <w:r>
        <w:rPr>
          <w:rFonts w:hint="eastAsia" w:ascii="仿宋" w:hAnsi="仿宋" w:eastAsia="仿宋"/>
          <w:b/>
          <w:color w:val="000000"/>
          <w:sz w:val="32"/>
          <w:szCs w:val="32"/>
        </w:rPr>
        <w:t>（二）政府采购支出情况</w:t>
      </w:r>
      <w:bookmarkEnd w:id="80"/>
      <w:bookmarkEnd w:id="81"/>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1.87</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1.87</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货物采购</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1.87</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1.87</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2" w:name="_Toc15377224"/>
      <w:bookmarkStart w:id="83" w:name="_Toc12987"/>
      <w:r>
        <w:rPr>
          <w:rFonts w:hint="eastAsia" w:ascii="仿宋" w:hAnsi="仿宋" w:eastAsia="仿宋"/>
          <w:b/>
          <w:color w:val="000000"/>
          <w:sz w:val="32"/>
          <w:szCs w:val="32"/>
        </w:rPr>
        <w:t>（三）国有资产占有使用情况</w:t>
      </w:r>
      <w:bookmarkEnd w:id="82"/>
      <w:bookmarkEnd w:id="83"/>
    </w:p>
    <w:p>
      <w:pPr>
        <w:autoSpaceDE w:val="0"/>
        <w:autoSpaceDN w:val="0"/>
        <w:adjustRightInd w:val="0"/>
        <w:spacing w:line="600" w:lineRule="exact"/>
        <w:ind w:firstLine="640" w:firstLineChars="200"/>
        <w:jc w:val="left"/>
        <w:rPr>
          <w:rFonts w:hint="eastAsia" w:ascii="仿宋" w:hAnsi="仿宋" w:eastAsia="仿宋_GB2312"/>
          <w:b/>
          <w:color w:val="FF0000"/>
          <w:sz w:val="32"/>
          <w:szCs w:val="32"/>
          <w:lang w:eastAsia="zh-CN"/>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机关</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辆，其中：应急保障用车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4" w:name="_Toc8450"/>
      <w:r>
        <w:rPr>
          <w:rFonts w:hint="eastAsia" w:ascii="仿宋" w:hAnsi="仿宋" w:eastAsia="仿宋"/>
          <w:b/>
          <w:color w:val="000000"/>
          <w:sz w:val="32"/>
          <w:szCs w:val="32"/>
        </w:rPr>
        <w:t>（四）预算绩效管理情况。</w:t>
      </w:r>
      <w:bookmarkEnd w:id="84"/>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根据预算绩效管理要求，本单位在年初预算编制阶段，组织对拆除违法建设、违规设置构筑物拆（清）除经费项目开展了预算事前绩效评估，对</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重点</w:t>
      </w:r>
      <w:r>
        <w:rPr>
          <w:rFonts w:hint="eastAsia" w:ascii="仿宋_GB2312" w:hAnsi="仿宋_GB2312" w:eastAsia="仿宋_GB2312" w:cs="仿宋_GB2312"/>
          <w:sz w:val="32"/>
          <w:szCs w:val="32"/>
        </w:rPr>
        <w:t>项目编制了绩效目标，预算执行过程中，选取</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个项目开展了绩效目标完成情况自评。</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lang w:eastAsia="zh-CN"/>
        </w:rPr>
        <w:t>根据市委、市政府的工作部署和安排，</w:t>
      </w:r>
      <w:r>
        <w:rPr>
          <w:rFonts w:hint="eastAsia" w:ascii="仿宋_GB2312" w:hAnsi="仿宋_GB2312" w:eastAsia="仿宋_GB2312" w:cs="仿宋_GB2312"/>
          <w:sz w:val="32"/>
          <w:szCs w:val="32"/>
          <w:lang w:val="en-US" w:eastAsia="zh-CN"/>
        </w:rPr>
        <w:t>2020年我局较好地完成各项城市管理工作任务，重点工作任务实际完成率为100%，达到了预期的绩效目标</w:t>
      </w:r>
      <w:r>
        <w:rPr>
          <w:rFonts w:hint="eastAsia" w:ascii="仿宋_GB2312" w:hAnsi="仿宋_GB2312" w:eastAsia="仿宋_GB2312" w:cs="仿宋_GB2312"/>
          <w:sz w:val="32"/>
          <w:szCs w:val="32"/>
        </w:rPr>
        <w:t>。</w:t>
      </w:r>
      <w:r>
        <w:rPr>
          <w:rFonts w:hint="eastAsia" w:ascii="仿宋_GB2312" w:eastAsia="仿宋_GB2312"/>
          <w:color w:val="000000"/>
          <w:sz w:val="32"/>
          <w:szCs w:val="32"/>
        </w:rPr>
        <w:t>本部门还自行组织了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个项目绩效评价，从评价情况来看</w:t>
      </w:r>
      <w:r>
        <w:rPr>
          <w:rFonts w:hint="eastAsia" w:ascii="仿宋_GB2312" w:eastAsia="仿宋_GB2312"/>
          <w:color w:val="000000"/>
          <w:sz w:val="32"/>
          <w:szCs w:val="32"/>
          <w:lang w:eastAsia="zh-CN"/>
        </w:rPr>
        <w:t>，项目任务完成情况较好，违建拆除量超额完成，</w:t>
      </w:r>
      <w:r>
        <w:rPr>
          <w:rFonts w:hint="eastAsia" w:ascii="仿宋_GB2312" w:hAnsi="仿宋" w:eastAsia="仿宋_GB2312"/>
          <w:sz w:val="32"/>
          <w:szCs w:val="32"/>
        </w:rPr>
        <w:t>加强了</w:t>
      </w:r>
      <w:r>
        <w:rPr>
          <w:rFonts w:hint="eastAsia" w:ascii="仿宋_GB2312" w:hAnsi="仿宋" w:eastAsia="仿宋_GB2312"/>
          <w:sz w:val="32"/>
          <w:szCs w:val="32"/>
          <w:highlight w:val="none"/>
        </w:rPr>
        <w:t>对城市管理的各种乱象的治理力度</w:t>
      </w:r>
      <w:r>
        <w:rPr>
          <w:rFonts w:hint="eastAsia" w:ascii="仿宋_GB2312" w:hAnsi="仿宋" w:eastAsia="仿宋_GB2312"/>
          <w:sz w:val="32"/>
          <w:szCs w:val="32"/>
          <w:highlight w:val="none"/>
          <w:lang w:eastAsia="zh-CN"/>
        </w:rPr>
        <w:t>，</w:t>
      </w:r>
      <w:r>
        <w:rPr>
          <w:rFonts w:hint="eastAsia" w:ascii="仿宋_GB2312" w:hAnsi="仿宋_GB2312" w:eastAsia="仿宋_GB2312" w:cs="仿宋_GB2312"/>
          <w:sz w:val="32"/>
          <w:szCs w:val="32"/>
          <w:highlight w:val="none"/>
          <w:lang w:eastAsia="zh-CN"/>
        </w:rPr>
        <w:t>为推动巴中高质量发展提供良好的环境</w:t>
      </w:r>
      <w:r>
        <w:rPr>
          <w:rFonts w:hint="eastAsia" w:ascii="仿宋_GB2312" w:eastAsia="仿宋_GB2312"/>
          <w:color w:val="000000"/>
          <w:sz w:val="32"/>
          <w:szCs w:val="32"/>
          <w:highlight w:val="none"/>
        </w:rPr>
        <w:t>。</w:t>
      </w:r>
    </w:p>
    <w:p>
      <w:pPr>
        <w:spacing w:line="5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highlight w:val="none"/>
        </w:rPr>
        <w:t>1.</w:t>
      </w:r>
      <w:r>
        <w:rPr>
          <w:rFonts w:hint="eastAsia" w:ascii="楷体_GB2312" w:hAnsi="楷体_GB2312" w:eastAsia="楷体_GB2312" w:cs="楷体_GB2312"/>
          <w:sz w:val="32"/>
          <w:szCs w:val="32"/>
          <w:highlight w:val="none"/>
        </w:rPr>
        <w:t>项目绩效目标完成情况。</w:t>
      </w:r>
      <w:r>
        <w:rPr>
          <w:rFonts w:ascii="楷体_GB2312" w:hAnsi="楷体_GB2312" w:eastAsia="楷体_GB2312" w:cs="楷体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年度部门决算中反映“拆除违法建设、违规设置构筑物拆（清）除经费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信访维稳工作经费““三违”治理工作（督查）经费”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城市管理购买社会服务经费支出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6个</w:t>
      </w:r>
      <w:r>
        <w:rPr>
          <w:rFonts w:hint="eastAsia" w:ascii="仿宋_GB2312" w:hAnsi="仿宋_GB2312" w:eastAsia="仿宋_GB2312" w:cs="仿宋_GB2312"/>
          <w:sz w:val="32"/>
          <w:szCs w:val="32"/>
        </w:rPr>
        <w:t>项目绩效目标实际完成情况。</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城市管理购买服务支出</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810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城市管理购买社会服务支出，实现了城市管理规范有序，</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资金支付进度较慢</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加强资金的统筹协调，加快支付进度。</w:t>
      </w:r>
    </w:p>
    <w:p>
      <w:pPr>
        <w:numPr>
          <w:ilvl w:val="0"/>
          <w:numId w:val="0"/>
        </w:num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）拆除违法建设、违规设置构筑物拆（清）除经费项目绩效目标完成情况综述。项目全年预算数</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违建拆除支出需求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全年完成违建拆除任务</w:t>
      </w:r>
      <w:r>
        <w:rPr>
          <w:rFonts w:hint="eastAsia" w:ascii="仿宋_GB2312" w:hAnsi="仿宋_GB2312" w:eastAsia="仿宋_GB2312" w:cs="仿宋_GB2312"/>
          <w:sz w:val="32"/>
          <w:szCs w:val="32"/>
          <w:lang w:val="en-US" w:eastAsia="zh-CN"/>
        </w:rPr>
        <w:t>6万平方米，达到了逐步消除存量违建的效果。</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资金支付进度较慢</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加强资金的统筹协调，加快支付进度。</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）信访维稳工作经费项目绩效目标完成情况综述。项目全年预算数</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信访维稳支出，</w:t>
      </w:r>
      <w:r>
        <w:rPr>
          <w:rFonts w:hint="eastAsia" w:ascii="仿宋_GB2312" w:hAnsi="仿宋_GB2312" w:eastAsia="仿宋_GB2312" w:cs="仿宋_GB2312"/>
          <w:sz w:val="32"/>
          <w:szCs w:val="32"/>
          <w:lang w:val="en-US" w:eastAsia="zh-CN"/>
        </w:rPr>
        <w:t>2020年受理来信来访全部按期办结回复，问题处置率100%，群众满意度98%，社会反映良好。</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“三违”治理工作（督查）经费项目绩效目标完成情况综述。项目全年预算数</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%。通过项目实施，持续推进违法建设整治“两拆一增”工作，保持新生违法建设零增长，存量违法建设有序消化，积极服务区域经济发展大局、保障重点项目推进、维护社会公平正义。</w:t>
      </w: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tbl>
      <w:tblPr>
        <w:tblStyle w:val="11"/>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01"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hint="eastAsia" w:ascii="宋体" w:hAnsi="宋体" w:cs="宋体"/>
                <w:color w:val="000000"/>
                <w:kern w:val="0"/>
                <w:sz w:val="36"/>
                <w:szCs w:val="36"/>
                <w:lang w:eastAsia="zh-CN"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bidi="ar"/>
              </w:rPr>
              <w:t>城市管理购买服务支出</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巴中市城市管理行政执法局</w:t>
            </w:r>
          </w:p>
        </w:tc>
      </w:tr>
      <w:tr>
        <w:tblPrEx>
          <w:tblCellMar>
            <w:top w:w="0" w:type="dxa"/>
            <w:left w:w="0" w:type="dxa"/>
            <w:bottom w:w="0" w:type="dxa"/>
            <w:right w:w="0" w:type="dxa"/>
          </w:tblCellMar>
        </w:tblPrEx>
        <w:trPr>
          <w:trHeight w:val="302" w:hRule="atLeast"/>
          <w:jc w:val="center"/>
        </w:trPr>
        <w:tc>
          <w:tcPr>
            <w:tcW w:w="39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lang w:val="en-US" w:eastAsia="zh-CN"/>
              </w:rPr>
            </w:pPr>
            <w:r>
              <w:rPr>
                <w:rFonts w:hint="eastAsia" w:ascii="宋体" w:cs="宋体"/>
                <w:color w:val="000000"/>
                <w:sz w:val="24"/>
                <w:lang w:val="en-US" w:eastAsia="zh-CN"/>
              </w:rPr>
              <w:t>800万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lang w:eastAsia="zh-CN" w:bidi="ar"/>
              </w:rPr>
            </w:pPr>
            <w:r>
              <w:rPr>
                <w:rFonts w:hint="eastAsia" w:ascii="宋体" w:hAnsi="宋体" w:cs="宋体"/>
                <w:color w:val="000000"/>
                <w:kern w:val="0"/>
                <w:sz w:val="24"/>
                <w:lang w:eastAsia="zh-CN" w:bidi="ar"/>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24"/>
                <w:lang w:val="en-US" w:eastAsia="zh-CN"/>
              </w:rPr>
            </w:pPr>
            <w:r>
              <w:rPr>
                <w:rFonts w:hint="eastAsia" w:ascii="宋体" w:cs="宋体"/>
                <w:color w:val="000000"/>
                <w:sz w:val="24"/>
                <w:lang w:val="en-US" w:eastAsia="zh-CN"/>
              </w:rPr>
              <w:t>300万</w:t>
            </w:r>
          </w:p>
        </w:tc>
      </w:tr>
      <w:tr>
        <w:tblPrEx>
          <w:tblCellMar>
            <w:top w:w="0" w:type="dxa"/>
            <w:left w:w="0" w:type="dxa"/>
            <w:bottom w:w="0" w:type="dxa"/>
            <w:right w:w="0" w:type="dxa"/>
          </w:tblCellMar>
        </w:tblPrEx>
        <w:trPr>
          <w:trHeight w:val="358"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财政拨款</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800万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财政拨款</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300万</w:t>
            </w:r>
          </w:p>
        </w:tc>
      </w:tr>
      <w:tr>
        <w:tblPrEx>
          <w:tblCellMar>
            <w:top w:w="0" w:type="dxa"/>
            <w:left w:w="0" w:type="dxa"/>
            <w:bottom w:w="0" w:type="dxa"/>
            <w:right w:w="0" w:type="dxa"/>
          </w:tblCellMar>
        </w:tblPrEx>
        <w:trPr>
          <w:trHeight w:val="63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bidi="ar"/>
              </w:rPr>
              <w:t>其他</w:t>
            </w:r>
            <w:r>
              <w:rPr>
                <w:rFonts w:hint="eastAsia" w:ascii="宋体" w:hAnsi="宋体" w:cs="宋体"/>
                <w:color w:val="000000"/>
                <w:kern w:val="0"/>
                <w:sz w:val="24"/>
                <w:lang w:bidi="ar"/>
              </w:rPr>
              <w:t>资金</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eastAsia="zh-CN" w:bidi="ar"/>
              </w:rPr>
              <w:t>其他</w:t>
            </w:r>
            <w:r>
              <w:rPr>
                <w:rFonts w:hint="eastAsia" w:ascii="宋体" w:hAnsi="宋体" w:cs="宋体"/>
                <w:color w:val="000000"/>
                <w:kern w:val="0"/>
                <w:sz w:val="24"/>
                <w:lang w:bidi="ar"/>
              </w:rPr>
              <w:t>资金</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2395"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1.完成</w:t>
            </w:r>
            <w:r>
              <w:rPr>
                <w:rFonts w:hint="eastAsia" w:ascii="宋体" w:hAnsi="宋体" w:cs="宋体"/>
                <w:color w:val="000000"/>
                <w:sz w:val="24"/>
                <w:lang w:eastAsia="zh-CN"/>
              </w:rPr>
              <w:t>对</w:t>
            </w:r>
            <w:r>
              <w:rPr>
                <w:rFonts w:hint="eastAsia" w:ascii="宋体" w:hAnsi="宋体" w:cs="宋体"/>
                <w:color w:val="000000"/>
                <w:sz w:val="24"/>
              </w:rPr>
              <w:t>信合大厦至江北大道盛华堂片区和龙泉街至火车站等新增区域的</w:t>
            </w:r>
            <w:r>
              <w:rPr>
                <w:rFonts w:hint="eastAsia" w:ascii="宋体" w:hAnsi="宋体" w:cs="宋体"/>
                <w:color w:val="000000"/>
                <w:sz w:val="24"/>
                <w:lang w:eastAsia="zh-CN"/>
              </w:rPr>
              <w:t>城市管理劝导</w:t>
            </w:r>
            <w:r>
              <w:rPr>
                <w:rFonts w:hint="eastAsia" w:ascii="宋体" w:hAnsi="宋体" w:cs="宋体"/>
                <w:color w:val="000000"/>
                <w:sz w:val="24"/>
              </w:rPr>
              <w:t>相关工作  2.对江北大道（盛华堂至党校）至大佛寺桥头、二环路（德阳银行至党校）及支街小巷和江北大道东段（信合大厦—后河桥—插旗山等）区域城市管理的</w:t>
            </w:r>
            <w:r>
              <w:rPr>
                <w:rFonts w:hint="eastAsia" w:ascii="宋体" w:hAnsi="宋体" w:cs="宋体"/>
                <w:color w:val="000000"/>
                <w:sz w:val="24"/>
                <w:lang w:eastAsia="zh-CN"/>
              </w:rPr>
              <w:t>城市管理劝导</w:t>
            </w:r>
            <w:r>
              <w:rPr>
                <w:rFonts w:hint="eastAsia" w:ascii="宋体" w:hAnsi="宋体" w:cs="宋体"/>
                <w:color w:val="000000"/>
                <w:sz w:val="24"/>
              </w:rPr>
              <w:t>相关工作</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1.完成</w:t>
            </w:r>
            <w:r>
              <w:rPr>
                <w:rFonts w:hint="eastAsia" w:ascii="宋体" w:hAnsi="宋体" w:cs="宋体"/>
                <w:color w:val="000000"/>
                <w:sz w:val="24"/>
                <w:lang w:eastAsia="zh-CN"/>
              </w:rPr>
              <w:t>对</w:t>
            </w:r>
            <w:r>
              <w:rPr>
                <w:rFonts w:hint="eastAsia" w:ascii="宋体" w:hAnsi="宋体" w:cs="宋体"/>
                <w:color w:val="000000"/>
                <w:sz w:val="24"/>
              </w:rPr>
              <w:t>信合大厦至江北大道盛华堂片区和龙泉街至火车站等新增区域的</w:t>
            </w:r>
            <w:r>
              <w:rPr>
                <w:rFonts w:hint="eastAsia" w:ascii="宋体" w:hAnsi="宋体" w:cs="宋体"/>
                <w:color w:val="000000"/>
                <w:sz w:val="24"/>
                <w:lang w:eastAsia="zh-CN"/>
              </w:rPr>
              <w:t>城市管理劝导</w:t>
            </w:r>
            <w:r>
              <w:rPr>
                <w:rFonts w:hint="eastAsia" w:ascii="宋体" w:hAnsi="宋体" w:cs="宋体"/>
                <w:color w:val="000000"/>
                <w:sz w:val="24"/>
              </w:rPr>
              <w:t>相关工作  2.对江北大道（盛华堂至党校）至大佛寺桥头、二环路（德阳银行至党校）及支街小巷和江北大道东段（信合大厦—后河桥—插旗山等）区域城市管理的</w:t>
            </w:r>
            <w:r>
              <w:rPr>
                <w:rFonts w:hint="eastAsia" w:ascii="宋体" w:hAnsi="宋体" w:cs="宋体"/>
                <w:color w:val="000000"/>
                <w:sz w:val="24"/>
                <w:lang w:eastAsia="zh-CN"/>
              </w:rPr>
              <w:t>城市管理劝导</w:t>
            </w:r>
            <w:r>
              <w:rPr>
                <w:rFonts w:hint="eastAsia" w:ascii="宋体" w:hAnsi="宋体" w:cs="宋体"/>
                <w:color w:val="000000"/>
                <w:sz w:val="24"/>
              </w:rPr>
              <w:t>相关工作</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包含数字及文字描述</w:t>
            </w:r>
            <w:r>
              <w:rPr>
                <w:rFonts w:hint="eastAsia" w:ascii="宋体" w:hAnsi="宋体" w:cs="宋体"/>
                <w:color w:val="000000"/>
                <w:kern w:val="0"/>
                <w:sz w:val="24"/>
                <w:lang w:eastAsia="zh-CN"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hint="eastAsia" w:ascii="宋体" w:hAnsi="宋体" w:cs="宋体"/>
                <w:color w:val="000000"/>
                <w:kern w:val="0"/>
                <w:sz w:val="24"/>
                <w:lang w:eastAsia="zh-CN" w:bidi="ar"/>
              </w:rPr>
              <w:t>（</w:t>
            </w:r>
            <w:r>
              <w:rPr>
                <w:rFonts w:hint="eastAsia" w:ascii="宋体" w:hAnsi="宋体" w:cs="宋体"/>
                <w:color w:val="000000"/>
                <w:kern w:val="0"/>
                <w:sz w:val="24"/>
                <w:lang w:bidi="ar"/>
              </w:rPr>
              <w:t>包含数字及文字描述</w:t>
            </w:r>
            <w:r>
              <w:rPr>
                <w:rFonts w:hint="eastAsia" w:ascii="宋体" w:hAnsi="宋体" w:cs="宋体"/>
                <w:color w:val="000000"/>
                <w:kern w:val="0"/>
                <w:sz w:val="24"/>
                <w:lang w:eastAsia="zh-CN"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完成区域范围</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江北大道（盛华堂至党校）至大佛寺桥头、江北大道东段（信合大厦—后河桥—插旗山等）、信合大厦至江北大道盛华堂片区和龙泉街至火车站</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江北大道（盛华堂至党校）至大佛寺桥头、江北大道东段（信合大厦—后河桥—插旗山等）、信合大厦至江北大道盛华堂片区和龙泉街至火车站</w:t>
            </w:r>
          </w:p>
        </w:tc>
      </w:tr>
      <w:tr>
        <w:tblPrEx>
          <w:tblCellMar>
            <w:top w:w="0" w:type="dxa"/>
            <w:left w:w="0" w:type="dxa"/>
            <w:bottom w:w="0" w:type="dxa"/>
            <w:right w:w="0" w:type="dxa"/>
          </w:tblCellMar>
        </w:tblPrEx>
        <w:trPr>
          <w:trHeight w:val="823"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eastAsia="zh-CN"/>
              </w:rPr>
              <w:t>综合考核得分率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月均高于95分</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月均高于95分</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城市管理模式</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建设推广“小政府、大社会”的现代行政管理模式。</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建设推广“小政府、大社会”的现代行政管理模式。</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人民满意度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创造良好的城市环境是广大市民的迫切希望 ，市民满意度大幅提升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创造良好的城市环境是广大市民的迫切希望 ，市民满意度大幅提升</w:t>
            </w:r>
          </w:p>
        </w:tc>
      </w:tr>
    </w:tbl>
    <w:tbl>
      <w:tblPr>
        <w:tblStyle w:val="11"/>
        <w:tblpPr w:leftFromText="180" w:rightFromText="180" w:vertAnchor="text" w:horzAnchor="page" w:tblpX="978" w:tblpY="100"/>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拆除违法建设、违规设置构筑物拆（清）除经费</w:t>
            </w:r>
          </w:p>
        </w:tc>
      </w:tr>
      <w:tr>
        <w:tblPrEx>
          <w:tblCellMar>
            <w:top w:w="0" w:type="dxa"/>
            <w:left w:w="0" w:type="dxa"/>
            <w:bottom w:w="0" w:type="dxa"/>
            <w:right w:w="0" w:type="dxa"/>
          </w:tblCellMar>
        </w:tblPrEx>
        <w:trPr>
          <w:trHeight w:val="90"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巴中市城市管理行政执法局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200万元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200万元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200万元</w:t>
            </w:r>
          </w:p>
        </w:tc>
      </w:tr>
      <w:tr>
        <w:tblPrEx>
          <w:tblCellMar>
            <w:top w:w="0" w:type="dxa"/>
            <w:left w:w="0" w:type="dxa"/>
            <w:bottom w:w="0" w:type="dxa"/>
            <w:right w:w="0" w:type="dxa"/>
          </w:tblCellMar>
        </w:tblPrEx>
        <w:trPr>
          <w:trHeight w:val="1452"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  根据我局承担的职能职责，对城市规划区范围违法建设、违法构建蓝顶子、破损灯箱广告、违规设置广告、摊棚、违规占道物等进行强制拆除。经初步统计，20</w:t>
            </w:r>
            <w:r>
              <w:rPr>
                <w:rFonts w:hint="eastAsia" w:ascii="宋体" w:hAnsi="宋体" w:cs="宋体"/>
                <w:color w:val="000000"/>
                <w:sz w:val="24"/>
                <w:lang w:val="en-US" w:eastAsia="zh-CN"/>
              </w:rPr>
              <w:t>20</w:t>
            </w:r>
            <w:r>
              <w:rPr>
                <w:rFonts w:hint="eastAsia" w:ascii="宋体" w:hAnsi="宋体" w:cs="宋体"/>
                <w:color w:val="000000"/>
                <w:sz w:val="24"/>
              </w:rPr>
              <w:t>年计划拆除存量违法建设</w:t>
            </w:r>
            <w:r>
              <w:rPr>
                <w:rFonts w:hint="eastAsia" w:ascii="宋体" w:hAnsi="宋体" w:cs="宋体"/>
                <w:color w:val="000000"/>
                <w:sz w:val="24"/>
                <w:lang w:val="en-US" w:eastAsia="zh-CN"/>
              </w:rPr>
              <w:t>6万平方米</w:t>
            </w:r>
            <w:r>
              <w:rPr>
                <w:rFonts w:hint="eastAsia" w:ascii="宋体" w:hAnsi="宋体" w:cs="宋体"/>
                <w:color w:val="000000"/>
                <w:sz w:val="24"/>
              </w:rPr>
              <w:t>。</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全年完成违建拆除任务</w:t>
            </w:r>
            <w:r>
              <w:rPr>
                <w:rFonts w:hint="eastAsia" w:ascii="宋体" w:hAnsi="宋体" w:cs="宋体"/>
                <w:color w:val="000000"/>
                <w:sz w:val="24"/>
                <w:lang w:val="en-US" w:eastAsia="zh-CN"/>
              </w:rPr>
              <w:t>6万平方米</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拆违面积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6万平方米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6万平方米</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新生违法建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新生违法建设实现零增长</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新生违法建设实现零增长</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拆迁成本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减少因修建违法建设而涉及的拆迁费用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减少因修建违法建设而涉及的拆迁费用</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市民满意度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90%左右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90%左右</w:t>
            </w:r>
          </w:p>
        </w:tc>
      </w:tr>
    </w:tbl>
    <w:p>
      <w:pPr>
        <w:spacing w:line="580" w:lineRule="exact"/>
        <w:rPr>
          <w:rFonts w:ascii="仿宋_GB2312" w:hAnsi="仿宋_GB2312" w:eastAsia="仿宋_GB2312" w:cs="仿宋_GB2312"/>
          <w:sz w:val="32"/>
          <w:szCs w:val="32"/>
        </w:rPr>
      </w:pPr>
    </w:p>
    <w:tbl>
      <w:tblPr>
        <w:tblStyle w:val="11"/>
        <w:tblpPr w:leftFromText="180" w:rightFromText="180" w:vertAnchor="text" w:horzAnchor="page" w:tblpX="978" w:tblpY="100"/>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信访维稳工作经费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巴中市城市管理行政执法局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4.5万元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4.5万元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4.5万元</w:t>
            </w:r>
          </w:p>
        </w:tc>
      </w:tr>
      <w:tr>
        <w:tblPrEx>
          <w:tblCellMar>
            <w:top w:w="0" w:type="dxa"/>
            <w:left w:w="0" w:type="dxa"/>
            <w:bottom w:w="0" w:type="dxa"/>
            <w:right w:w="0" w:type="dxa"/>
          </w:tblCellMar>
        </w:tblPrEx>
        <w:trPr>
          <w:trHeight w:val="1565"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958"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信访案件办结率</w:t>
            </w:r>
            <w:r>
              <w:rPr>
                <w:rFonts w:hint="eastAsia" w:ascii="宋体" w:hAnsi="宋体" w:cs="宋体"/>
                <w:color w:val="000000"/>
                <w:sz w:val="24"/>
                <w:lang w:val="en-US" w:eastAsia="zh-CN"/>
              </w:rPr>
              <w:t>99%，提升群众满意度95%以上</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2020年受理来信来访全部按期办结回复，问题处置率100%，群众满意度98%，社会反映良好。</w:t>
            </w:r>
          </w:p>
          <w:p>
            <w:pPr>
              <w:widowControl/>
              <w:jc w:val="center"/>
              <w:textAlignment w:val="center"/>
              <w:rPr>
                <w:rFonts w:hint="eastAsia" w:ascii="宋体" w:hAnsi="宋体" w:eastAsia="宋体" w:cs="宋体"/>
                <w:color w:val="000000"/>
                <w:sz w:val="24"/>
                <w:lang w:eastAsia="zh-CN"/>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解化解决信访案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3件</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kern w:val="0"/>
                <w:sz w:val="24"/>
              </w:rPr>
              <w:t>产出指标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维稳处突演练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1次</w:t>
            </w:r>
          </w:p>
        </w:tc>
      </w:tr>
      <w:tr>
        <w:tblPrEx>
          <w:tblCellMar>
            <w:top w:w="0" w:type="dxa"/>
            <w:left w:w="0" w:type="dxa"/>
            <w:bottom w:w="0" w:type="dxa"/>
            <w:right w:w="0" w:type="dxa"/>
          </w:tblCellMar>
        </w:tblPrEx>
        <w:trPr>
          <w:trHeight w:val="1042" w:hRule="atLeast"/>
          <w:jc w:val="center"/>
        </w:trPr>
        <w:tc>
          <w:tcPr>
            <w:tcW w:w="390" w:type="dxa"/>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信访案件办结率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42" w:hRule="atLeast"/>
          <w:jc w:val="center"/>
        </w:trPr>
        <w:tc>
          <w:tcPr>
            <w:tcW w:w="390" w:type="dxa"/>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2"/>
                <w:sz w:val="24"/>
                <w:szCs w:val="24"/>
                <w:lang w:val="en-US" w:eastAsia="zh-CN" w:bidi="ar-SA"/>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eastAsia="zh-CN"/>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98%</w:t>
            </w:r>
          </w:p>
        </w:tc>
      </w:tr>
    </w:tbl>
    <w:p>
      <w:pPr>
        <w:spacing w:line="580" w:lineRule="exact"/>
        <w:rPr>
          <w:rFonts w:ascii="仿宋_GB2312" w:hAnsi="仿宋_GB2312" w:eastAsia="仿宋_GB2312" w:cs="仿宋_GB2312"/>
          <w:sz w:val="32"/>
          <w:szCs w:val="32"/>
        </w:rPr>
      </w:pPr>
    </w:p>
    <w:tbl>
      <w:tblPr>
        <w:tblStyle w:val="11"/>
        <w:tblpPr w:leftFromText="180" w:rightFromText="180" w:vertAnchor="text" w:horzAnchor="page" w:tblpX="978" w:tblpY="100"/>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“三违”治理工作（督查）经费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巴中市城市管理行政执法局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4.5万元</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4.5万元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4.5万元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全市拆违10万平方米，查办案件10件次，新生违建得到更好遏制，城市建成区新生违建得到基本消除</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全市拆违10万平方米，查办案件10件次，新生违建得到更好遏制，城市建成区新生违建得到基本消除</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拆违面积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全市依法拆违10万平方米左右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全市依法拆违10万平方米左右</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val="en-US" w:eastAsia="zh-CN"/>
              </w:rPr>
              <w:t>案件查办量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查办三违案件12件次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查办三违案件12件次</w:t>
            </w:r>
          </w:p>
        </w:tc>
      </w:tr>
      <w:tr>
        <w:tblPrEx>
          <w:tblCellMar>
            <w:top w:w="0" w:type="dxa"/>
            <w:left w:w="0" w:type="dxa"/>
            <w:bottom w:w="0" w:type="dxa"/>
            <w:right w:w="0" w:type="dxa"/>
          </w:tblCellMar>
        </w:tblPrEx>
        <w:trPr>
          <w:trHeight w:val="535"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val="en-US" w:eastAsia="zh-CN"/>
              </w:rPr>
              <w:t>城市公交发展政策落实及时率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新生违法建设得到全面遏制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新生违法建设得到全面遏制</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val="en-US" w:eastAsia="zh-CN"/>
              </w:rPr>
              <w:t>土地利用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实现土地高效利用，城乡建设有序开发，提升社会综合发展效益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实现土地高效利用，城乡建设有序开发，提升社会综合发展效益</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市民满意度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高度满意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高度满意</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巴中市城市管理行政执法局</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widowControl/>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城市管理购买服务</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城市管理购买服务</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年绩效评价报告》见附件（附件2）。</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15"/>
          <w:rFonts w:ascii="黑体" w:hAnsi="黑体" w:eastAsia="黑体"/>
          <w:b w:val="0"/>
        </w:rPr>
      </w:pPr>
      <w:bookmarkStart w:id="85" w:name="_Toc15377225"/>
      <w:bookmarkStart w:id="86" w:name="_Toc15396613"/>
      <w:bookmarkStart w:id="87" w:name="_Toc9822"/>
      <w:r>
        <w:rPr>
          <w:rFonts w:hint="eastAsia" w:ascii="黑体" w:hAnsi="黑体" w:eastAsia="黑体"/>
          <w:color w:val="000000"/>
          <w:sz w:val="44"/>
          <w:szCs w:val="44"/>
        </w:rPr>
        <w:t>名</w:t>
      </w:r>
      <w:r>
        <w:rPr>
          <w:rStyle w:val="15"/>
          <w:rFonts w:hint="eastAsia" w:ascii="黑体" w:hAnsi="黑体" w:eastAsia="黑体"/>
          <w:b w:val="0"/>
        </w:rPr>
        <w:t>词解释</w:t>
      </w:r>
      <w:bookmarkEnd w:id="85"/>
      <w:bookmarkEnd w:id="86"/>
      <w:bookmarkEnd w:id="87"/>
    </w:p>
    <w:p>
      <w:pPr>
        <w:spacing w:line="600" w:lineRule="exact"/>
        <w:jc w:val="left"/>
        <w:rPr>
          <w:rFonts w:ascii="宋体"/>
          <w:b/>
          <w:color w:val="000000"/>
          <w:sz w:val="44"/>
          <w:szCs w:val="44"/>
        </w:rPr>
      </w:pPr>
    </w:p>
    <w:p>
      <w:pPr>
        <w:pStyle w:val="18"/>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1.财政拨款收入：</w:t>
      </w:r>
      <w:r>
        <w:rPr>
          <w:rFonts w:hint="eastAsia" w:ascii="仿宋_GB2312" w:hAnsi="Times New Roman" w:eastAsia="仿宋_GB2312"/>
          <w:sz w:val="32"/>
          <w:szCs w:val="32"/>
        </w:rPr>
        <w:t>指单位从同级财政部门取得的财政预算资金。</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2.事业收入：指事业单位开展专业业务活动及辅助活动所取得的收入。</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3.经营收入：指事业单位在专业业务活动及其辅助活动之外开展非独立核算经营活动取得的收入。</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4.其他收入：指除上述“财政拨款收入”、“事业收入”、“经营收入”等以外的收入。</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xml:space="preserve">6.年初结转和结余：指以前年度尚未完成、结转到本年按有关规定继续使用的资金。 </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7.城乡社区支出（类）城乡社区管理事务（款）行政运行（项）</w:t>
      </w:r>
      <w:r>
        <w:rPr>
          <w:rFonts w:hint="eastAsia" w:ascii="仿宋_GB2312"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反映行政单位的基本支出。</w:t>
      </w:r>
    </w:p>
    <w:p>
      <w:pPr>
        <w:autoSpaceDE w:val="0"/>
        <w:autoSpaceDN w:val="0"/>
        <w:adjustRightInd w:val="0"/>
        <w:spacing w:line="600" w:lineRule="exact"/>
        <w:jc w:val="left"/>
        <w:rPr>
          <w:rFonts w:hint="eastAsia" w:ascii="仿宋_GB2312" w:hAnsi="Times New Roman" w:eastAsia="仿宋_GB2312" w:cs="Times New Roman"/>
          <w:color w:val="000000"/>
          <w:sz w:val="32"/>
          <w:szCs w:val="32"/>
        </w:rPr>
      </w:pPr>
      <w:r>
        <w:rPr>
          <w:rFonts w:hint="eastAsia" w:ascii="仿宋_GB2312" w:eastAsia="仿宋_GB2312" w:cs="Times New Roman"/>
          <w:color w:val="000000"/>
          <w:sz w:val="32"/>
          <w:szCs w:val="32"/>
          <w:lang w:val="en-US" w:eastAsia="zh-CN"/>
        </w:rPr>
        <w:t xml:space="preserve">   </w:t>
      </w:r>
      <w:r>
        <w:rPr>
          <w:rFonts w:hint="eastAsia" w:ascii="仿宋_GB2312" w:hAnsi="Times New Roman" w:eastAsia="仿宋_GB2312" w:cs="Times New Roman"/>
          <w:color w:val="000000"/>
          <w:sz w:val="32"/>
          <w:szCs w:val="32"/>
        </w:rPr>
        <w:t>  8.城乡社区支出（类）城乡社区管理事务（款）一般行政管理事务（项）：反映行政单位</w:t>
      </w:r>
      <w:r>
        <w:rPr>
          <w:rFonts w:hint="eastAsia" w:ascii="仿宋_GB2312" w:eastAsia="仿宋_GB2312" w:cs="Times New Roman"/>
          <w:color w:val="000000"/>
          <w:sz w:val="32"/>
          <w:szCs w:val="32"/>
          <w:lang w:eastAsia="zh-CN"/>
        </w:rPr>
        <w:t>未设置</w:t>
      </w:r>
      <w:r>
        <w:rPr>
          <w:rFonts w:hint="eastAsia" w:ascii="仿宋_GB2312" w:hAnsi="Times New Roman" w:eastAsia="仿宋_GB2312" w:cs="Times New Roman"/>
          <w:color w:val="000000"/>
          <w:sz w:val="32"/>
          <w:szCs w:val="32"/>
        </w:rPr>
        <w:t>顶级科目的其他项目支出。</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9.城乡社区支出（类）城乡社区管理事务（款）城管执法（项）：反映城市管理综合行政执法、加强城市市容肯环境卫生方面的支出</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10.教育支出（类）进修及培训（款）培训支出（项）</w:t>
      </w:r>
      <w:r>
        <w:rPr>
          <w:rFonts w:hint="eastAsia" w:ascii="仿宋_GB2312"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反映各部门安排的用于培训的支出。</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11.社会保障和就业（类）财政对社会保险基金的补助（款）财政对基本养老保险基金的补助（项）</w:t>
      </w:r>
      <w:r>
        <w:rPr>
          <w:rFonts w:hint="eastAsia" w:ascii="仿宋_GB2312"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反映财政对职工基本养老保险基金的补助支出</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12.社会保障和就业（类）财政对社会保险基金的补助（款）财政对其他社会保险基金的补助（项）</w:t>
      </w:r>
      <w:r>
        <w:rPr>
          <w:rFonts w:hint="eastAsia" w:ascii="仿宋_GB2312"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反映财政对城乡居民基本养老保险基金的补助支出。</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13.医疗卫生与计划生育（类）医疗保障（款）行政单位医疗（项）</w:t>
      </w:r>
      <w:r>
        <w:rPr>
          <w:rFonts w:hint="eastAsia" w:ascii="仿宋_GB2312"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反映财政部门集中安排的事业单位基本医疗保险缴费经费，未参加医疗保险胡事业单位的公费医疗经费，按照国家规定享受离休人员待遇人员的医疗经费。</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14.住房保障支出（类）住房改革支出（款）住房公积金（项）</w:t>
      </w:r>
      <w:r>
        <w:rPr>
          <w:rFonts w:hint="eastAsia" w:ascii="仿宋_GB2312"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反映行政事业单位按照人力资源和社会保障部、财政部规定的基本工资和津贴补贴以及规定的比例</w:t>
      </w:r>
      <w:r>
        <w:rPr>
          <w:rFonts w:hint="eastAsia" w:ascii="仿宋_GB2312" w:eastAsia="仿宋_GB2312" w:cs="Times New Roman"/>
          <w:color w:val="000000"/>
          <w:sz w:val="32"/>
          <w:szCs w:val="32"/>
          <w:lang w:eastAsia="zh-CN"/>
        </w:rPr>
        <w:t>为</w:t>
      </w:r>
      <w:r>
        <w:rPr>
          <w:rFonts w:hint="eastAsia" w:ascii="仿宋_GB2312" w:hAnsi="Times New Roman" w:eastAsia="仿宋_GB2312" w:cs="Times New Roman"/>
          <w:color w:val="000000"/>
          <w:sz w:val="32"/>
          <w:szCs w:val="32"/>
        </w:rPr>
        <w:t xml:space="preserve">职工缴纳的住房公积金。 </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15.结余分配：指事业单位按规定提取的职工福利基金、事业基金和缴纳的所得税，以及建设单位按规定应交回的基本建设竣工项目结余资金。</w:t>
      </w:r>
    </w:p>
    <w:p>
      <w:pPr>
        <w:autoSpaceDE w:val="0"/>
        <w:autoSpaceDN w:val="0"/>
        <w:adjustRightInd w:val="0"/>
        <w:spacing w:line="600" w:lineRule="exact"/>
        <w:ind w:firstLine="640" w:firstLineChars="200"/>
        <w:jc w:val="left"/>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16.年末结转和结余：指本年度或以前年度预算安排、因客观条件发生变化无法按原计划实施，需延迟到以后年度按有关规定继续使用的资金。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w:t>
      </w:r>
      <w:r>
        <w:rPr>
          <w:rFonts w:ascii="仿宋_GB2312" w:eastAsia="仿宋_GB2312"/>
          <w:color w:val="000000"/>
          <w:sz w:val="32"/>
          <w:szCs w:val="32"/>
        </w:rPr>
        <w:t>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w:t>
      </w:r>
      <w:r>
        <w:rPr>
          <w:rFonts w:ascii="仿宋_GB2312" w:eastAsia="仿宋_GB2312"/>
          <w:color w:val="000000"/>
          <w:sz w:val="32"/>
          <w:szCs w:val="32"/>
        </w:rPr>
        <w:t>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w:t>
      </w:r>
      <w:r>
        <w:rPr>
          <w:rFonts w:ascii="仿宋_GB2312" w:eastAsia="仿宋_GB2312"/>
          <w:color w:val="000000"/>
          <w:sz w:val="32"/>
          <w:szCs w:val="32"/>
        </w:rPr>
        <w:t>9.</w:t>
      </w:r>
      <w:r>
        <w:rPr>
          <w:rFonts w:hint="eastAsia" w:ascii="仿宋_GB2312" w:eastAsia="仿宋_GB2312"/>
          <w:color w:val="000000"/>
          <w:sz w:val="32"/>
          <w:szCs w:val="32"/>
        </w:rPr>
        <w:t>经营支出：指事业单位在专业业务活动及其辅助活动之外开展非独立核算经营活动发生的支出。</w:t>
      </w:r>
    </w:p>
    <w:p>
      <w:pPr>
        <w:pStyle w:val="18"/>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jc w:val="center"/>
        <w:rPr>
          <w:rStyle w:val="15"/>
          <w:rFonts w:ascii="黑体" w:hAnsi="黑体" w:eastAsia="黑体"/>
          <w:b w:val="0"/>
        </w:rPr>
      </w:pPr>
      <w:r>
        <w:rPr>
          <w:rFonts w:hint="eastAsia" w:ascii="仿宋_GB2312" w:eastAsia="仿宋_GB2312"/>
          <w:sz w:val="32"/>
          <w:szCs w:val="32"/>
          <w:lang w:val="en-US" w:eastAsia="zh-CN"/>
        </w:rPr>
        <w:t>2</w:t>
      </w:r>
      <w:r>
        <w:rPr>
          <w:rFonts w:ascii="仿宋_GB2312" w:eastAsia="仿宋_GB2312"/>
          <w:sz w:val="32"/>
          <w:szCs w:val="32"/>
        </w:rPr>
        <w:t>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88" w:name="_Toc15377226"/>
      <w:r>
        <w:rPr>
          <w:rFonts w:ascii="宋体"/>
          <w:b/>
          <w:color w:val="000000"/>
          <w:sz w:val="44"/>
          <w:szCs w:val="44"/>
        </w:rPr>
        <w:br w:type="page"/>
      </w:r>
      <w:bookmarkStart w:id="89" w:name="_Toc15396614"/>
      <w:r>
        <w:rPr>
          <w:rFonts w:hint="eastAsia" w:ascii="黑体" w:hAnsi="黑体" w:eastAsia="黑体"/>
          <w:color w:val="000000"/>
          <w:sz w:val="44"/>
          <w:szCs w:val="44"/>
        </w:rPr>
        <w:t>第</w:t>
      </w:r>
      <w:r>
        <w:rPr>
          <w:rStyle w:val="15"/>
          <w:rFonts w:hint="eastAsia" w:ascii="黑体" w:hAnsi="黑体" w:eastAsia="黑体"/>
          <w:b w:val="0"/>
        </w:rPr>
        <w:t>四部分</w:t>
      </w:r>
      <w:r>
        <w:rPr>
          <w:rStyle w:val="15"/>
          <w:rFonts w:ascii="黑体" w:hAnsi="黑体" w:eastAsia="黑体"/>
          <w:b w:val="0"/>
        </w:rPr>
        <w:t xml:space="preserve"> </w:t>
      </w:r>
      <w:r>
        <w:rPr>
          <w:rStyle w:val="15"/>
          <w:rFonts w:hint="eastAsia" w:ascii="黑体" w:hAnsi="黑体" w:eastAsia="黑体"/>
          <w:b w:val="0"/>
        </w:rPr>
        <w:t>附件</w:t>
      </w:r>
      <w:bookmarkEnd w:id="89"/>
    </w:p>
    <w:p>
      <w:pPr>
        <w:spacing w:line="600" w:lineRule="exact"/>
        <w:jc w:val="left"/>
        <w:outlineLvl w:val="0"/>
        <w:rPr>
          <w:rFonts w:ascii="方正小标宋简体" w:hAnsi="方正小标宋简体" w:eastAsia="方正小标宋简体" w:cs="方正小标宋简体"/>
          <w:sz w:val="32"/>
          <w:szCs w:val="32"/>
        </w:rPr>
      </w:pPr>
      <w:bookmarkStart w:id="90" w:name="_Toc30756"/>
      <w:r>
        <w:rPr>
          <w:rFonts w:hint="eastAsia" w:ascii="黑体" w:hAnsi="黑体" w:eastAsia="黑体" w:cs="黑体"/>
          <w:sz w:val="32"/>
          <w:szCs w:val="32"/>
        </w:rPr>
        <w:t>附件</w:t>
      </w:r>
      <w:r>
        <w:rPr>
          <w:rFonts w:ascii="黑体" w:hAnsi="黑体" w:eastAsia="黑体" w:cs="黑体"/>
          <w:sz w:val="32"/>
          <w:szCs w:val="32"/>
        </w:rPr>
        <w:t>1</w:t>
      </w:r>
      <w:bookmarkEnd w:id="90"/>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eastAsia="zh-CN"/>
        </w:rPr>
        <w:t>巴中市城市管理行政执法局</w:t>
      </w: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根据中共四川省委机构编制委员会《关于调整巴中市政府工作部门及挂牌机构的批复》（川编发〔2012〕1号），设立巴中市城市管理行政执法局（简称市城管执法局），为市政府工作部门。局内设办公室、城市管理、执法监督、计划财务4个科室，下设直属分局、巴州区分局、经开区分局、城市管理公众服务中心4个下属单位，市公安局城管执法协作支队1个派驻机构。</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巴中市城市管理行政执法局成立于2011年8月，负责依法行使城市规划区内的城市规划和建设、房地产、装饰装修、市政工程、公共设施、户外广告、违规占道等城市综合行政管理和城乡规划、建设、房地产业、公共场所经营、户外广告等行政处罚权。</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 xml:space="preserve"> （三）人员概况。巴中市城市管理行政执法局局机关核定行政编制11</w:t>
      </w:r>
      <w:r>
        <w:rPr>
          <w:rFonts w:hint="eastAsia" w:ascii="仿宋_GB2312" w:hAnsi="宋体" w:eastAsia="仿宋_GB2312" w:cs="宋体"/>
          <w:color w:val="000000"/>
          <w:kern w:val="0"/>
          <w:sz w:val="32"/>
          <w:szCs w:val="32"/>
          <w:shd w:val="clear" w:color="auto" w:fill="FFFFFF"/>
          <w:lang w:val="zh-CN" w:eastAsia="zh-CN"/>
        </w:rPr>
        <w:t>个</w:t>
      </w:r>
      <w:r>
        <w:rPr>
          <w:rFonts w:hint="eastAsia" w:ascii="仿宋_GB2312" w:hAnsi="宋体" w:eastAsia="仿宋_GB2312" w:cs="宋体"/>
          <w:color w:val="000000"/>
          <w:kern w:val="0"/>
          <w:sz w:val="32"/>
          <w:szCs w:val="32"/>
          <w:shd w:val="clear" w:color="auto" w:fill="FFFFFF"/>
          <w:lang w:val="zh-CN"/>
        </w:rPr>
        <w:t>，机关工勤编制2</w:t>
      </w:r>
      <w:r>
        <w:rPr>
          <w:rFonts w:hint="eastAsia" w:ascii="仿宋_GB2312" w:hAnsi="宋体" w:eastAsia="仿宋_GB2312" w:cs="宋体"/>
          <w:color w:val="000000"/>
          <w:kern w:val="0"/>
          <w:sz w:val="32"/>
          <w:szCs w:val="32"/>
          <w:shd w:val="clear" w:color="auto" w:fill="FFFFFF"/>
          <w:lang w:val="zh-CN" w:eastAsia="zh-CN"/>
        </w:rPr>
        <w:t>个</w:t>
      </w:r>
      <w:r>
        <w:rPr>
          <w:rFonts w:hint="eastAsia" w:ascii="仿宋_GB2312" w:hAnsi="宋体" w:eastAsia="仿宋_GB2312" w:cs="宋体"/>
          <w:color w:val="000000"/>
          <w:kern w:val="0"/>
          <w:sz w:val="32"/>
          <w:szCs w:val="32"/>
          <w:shd w:val="clear" w:color="auto" w:fill="FFFFFF"/>
          <w:lang w:val="zh-CN"/>
        </w:rPr>
        <w:t>，下属单位编制数153个（其中参公编制131个，机关工勤14个，事业编制8个）。截至2020年12月，在编在岗人员143名。</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rPr>
        <w:t>（一）部门财政资金收入情况。2020年我单位共安排预算</w:t>
      </w:r>
      <w:r>
        <w:rPr>
          <w:rFonts w:hint="eastAsia" w:ascii="仿宋_GB2312" w:hAnsi="宋体" w:eastAsia="仿宋_GB2312" w:cs="宋体"/>
          <w:color w:val="000000"/>
          <w:kern w:val="0"/>
          <w:sz w:val="32"/>
          <w:szCs w:val="32"/>
          <w:shd w:val="clear" w:color="auto" w:fill="FFFFFF"/>
          <w:lang w:val="en-US" w:eastAsia="zh-CN"/>
        </w:rPr>
        <w:t>3077.58</w:t>
      </w:r>
      <w:r>
        <w:rPr>
          <w:rFonts w:hint="eastAsia" w:ascii="仿宋_GB2312" w:hAnsi="宋体" w:eastAsia="仿宋_GB2312" w:cs="宋体"/>
          <w:color w:val="000000"/>
          <w:kern w:val="0"/>
          <w:sz w:val="32"/>
          <w:szCs w:val="32"/>
          <w:shd w:val="clear" w:color="auto" w:fill="FFFFFF"/>
          <w:lang w:val="zh-CN"/>
        </w:rPr>
        <w:t>万元</w:t>
      </w:r>
      <w:r>
        <w:rPr>
          <w:rFonts w:hint="eastAsia" w:ascii="仿宋_GB2312" w:hAnsi="宋体" w:eastAsia="仿宋_GB2312" w:cs="宋体"/>
          <w:color w:val="000000"/>
          <w:kern w:val="0"/>
          <w:sz w:val="32"/>
          <w:szCs w:val="32"/>
          <w:shd w:val="clear" w:color="auto" w:fill="FFFFFF"/>
          <w:lang w:val="zh-CN" w:eastAsia="zh-CN"/>
        </w:rPr>
        <w:t>，</w:t>
      </w:r>
      <w:r>
        <w:rPr>
          <w:rFonts w:hint="eastAsia" w:ascii="仿宋_GB2312" w:hAnsi="宋体" w:eastAsia="仿宋_GB2312" w:cs="宋体"/>
          <w:color w:val="000000"/>
          <w:kern w:val="0"/>
          <w:sz w:val="32"/>
          <w:szCs w:val="32"/>
          <w:shd w:val="clear" w:color="auto" w:fill="FFFFFF"/>
          <w:lang w:val="zh-CN"/>
        </w:rPr>
        <w:t>其中：上年结转资金</w:t>
      </w:r>
      <w:r>
        <w:rPr>
          <w:rFonts w:hint="eastAsia" w:ascii="仿宋_GB2312" w:hAnsi="宋体" w:eastAsia="仿宋_GB2312" w:cs="宋体"/>
          <w:color w:val="000000"/>
          <w:kern w:val="0"/>
          <w:sz w:val="32"/>
          <w:szCs w:val="32"/>
          <w:shd w:val="clear" w:color="auto" w:fill="FFFFFF"/>
          <w:lang w:val="en-US" w:eastAsia="zh-CN"/>
        </w:rPr>
        <w:t>1712.77</w:t>
      </w:r>
      <w:r>
        <w:rPr>
          <w:rFonts w:hint="eastAsia" w:ascii="仿宋_GB2312" w:hAnsi="宋体" w:eastAsia="仿宋_GB2312" w:cs="宋体"/>
          <w:color w:val="000000"/>
          <w:kern w:val="0"/>
          <w:sz w:val="32"/>
          <w:szCs w:val="32"/>
          <w:shd w:val="clear" w:color="auto" w:fill="FFFFFF"/>
          <w:lang w:val="zh-CN"/>
        </w:rPr>
        <w:t>万元，本年公共财政预算拨款收入</w:t>
      </w:r>
      <w:r>
        <w:rPr>
          <w:rFonts w:hint="eastAsia" w:ascii="仿宋_GB2312" w:hAnsi="宋体" w:eastAsia="仿宋_GB2312" w:cs="宋体"/>
          <w:color w:val="000000"/>
          <w:kern w:val="0"/>
          <w:sz w:val="32"/>
          <w:szCs w:val="32"/>
          <w:shd w:val="clear" w:color="auto" w:fill="FFFFFF"/>
          <w:lang w:val="en-US" w:eastAsia="zh-CN"/>
        </w:rPr>
        <w:t>554.81</w:t>
      </w:r>
      <w:r>
        <w:rPr>
          <w:rFonts w:hint="eastAsia" w:ascii="仿宋_GB2312" w:hAnsi="宋体" w:eastAsia="仿宋_GB2312" w:cs="宋体"/>
          <w:color w:val="000000"/>
          <w:kern w:val="0"/>
          <w:sz w:val="32"/>
          <w:szCs w:val="32"/>
          <w:shd w:val="clear" w:color="auto" w:fill="FFFFFF"/>
          <w:lang w:val="zh-CN"/>
        </w:rPr>
        <w:t>万元，基金预算拨款收入</w:t>
      </w:r>
      <w:r>
        <w:rPr>
          <w:rFonts w:hint="eastAsia" w:ascii="仿宋_GB2312" w:hAnsi="宋体" w:eastAsia="仿宋_GB2312" w:cs="宋体"/>
          <w:color w:val="000000"/>
          <w:kern w:val="0"/>
          <w:sz w:val="32"/>
          <w:szCs w:val="32"/>
          <w:shd w:val="clear" w:color="auto" w:fill="FFFFFF"/>
          <w:lang w:val="en-US" w:eastAsia="zh-CN"/>
        </w:rPr>
        <w:t>810</w:t>
      </w:r>
      <w:r>
        <w:rPr>
          <w:rFonts w:hint="eastAsia" w:ascii="仿宋_GB2312" w:hAnsi="宋体" w:eastAsia="仿宋_GB2312" w:cs="宋体"/>
          <w:color w:val="000000"/>
          <w:kern w:val="0"/>
          <w:sz w:val="32"/>
          <w:szCs w:val="32"/>
          <w:shd w:val="clear" w:color="auto" w:fill="FFFFFF"/>
          <w:lang w:val="zh-CN"/>
        </w:rPr>
        <w:t>万元</w:t>
      </w:r>
      <w:r>
        <w:rPr>
          <w:rFonts w:hint="eastAsia" w:ascii="仿宋_GB2312" w:hAnsi="宋体" w:eastAsia="仿宋_GB2312" w:cs="宋体"/>
          <w:color w:val="000000"/>
          <w:kern w:val="0"/>
          <w:sz w:val="32"/>
          <w:szCs w:val="32"/>
          <w:shd w:val="clear" w:color="auto" w:fill="FFFFFF"/>
          <w:lang w:val="zh-CN" w:eastAsia="zh-CN"/>
        </w:rPr>
        <w:t>。</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rPr>
        <w:t>（二）部门财政资金支出情况。2020年我单位共计支出</w:t>
      </w:r>
      <w:r>
        <w:rPr>
          <w:rFonts w:hint="eastAsia" w:ascii="仿宋_GB2312" w:hAnsi="宋体" w:eastAsia="仿宋_GB2312" w:cs="宋体"/>
          <w:color w:val="000000"/>
          <w:kern w:val="0"/>
          <w:sz w:val="32"/>
          <w:szCs w:val="32"/>
          <w:shd w:val="clear" w:color="auto" w:fill="FFFFFF"/>
          <w:lang w:val="en-US" w:eastAsia="zh-CN"/>
        </w:rPr>
        <w:t>2175.24</w:t>
      </w:r>
      <w:r>
        <w:rPr>
          <w:rFonts w:hint="eastAsia" w:ascii="仿宋_GB2312" w:hAnsi="宋体" w:eastAsia="仿宋_GB2312" w:cs="宋体"/>
          <w:color w:val="000000"/>
          <w:kern w:val="0"/>
          <w:sz w:val="32"/>
          <w:szCs w:val="32"/>
          <w:shd w:val="clear" w:color="auto" w:fill="FFFFFF"/>
          <w:lang w:val="zh-CN"/>
        </w:rPr>
        <w:t>万元，其中：工资福利支出</w:t>
      </w:r>
      <w:r>
        <w:rPr>
          <w:rFonts w:hint="eastAsia" w:ascii="仿宋_GB2312" w:hAnsi="宋体" w:eastAsia="仿宋_GB2312" w:cs="宋体"/>
          <w:color w:val="000000"/>
          <w:kern w:val="0"/>
          <w:sz w:val="32"/>
          <w:szCs w:val="32"/>
          <w:shd w:val="clear" w:color="auto" w:fill="FFFFFF"/>
          <w:lang w:val="en-US" w:eastAsia="zh-CN"/>
        </w:rPr>
        <w:t>199.52</w:t>
      </w:r>
      <w:r>
        <w:rPr>
          <w:rFonts w:hint="eastAsia" w:ascii="仿宋_GB2312" w:hAnsi="宋体" w:eastAsia="仿宋_GB2312" w:cs="宋体"/>
          <w:color w:val="000000"/>
          <w:kern w:val="0"/>
          <w:sz w:val="32"/>
          <w:szCs w:val="32"/>
          <w:shd w:val="clear" w:color="auto" w:fill="FFFFFF"/>
          <w:lang w:val="zh-CN"/>
        </w:rPr>
        <w:t>万元，商品和服务支出</w:t>
      </w:r>
      <w:r>
        <w:rPr>
          <w:rFonts w:hint="eastAsia" w:ascii="仿宋_GB2312" w:hAnsi="宋体" w:eastAsia="仿宋_GB2312" w:cs="宋体"/>
          <w:color w:val="000000"/>
          <w:kern w:val="0"/>
          <w:sz w:val="32"/>
          <w:szCs w:val="32"/>
          <w:shd w:val="clear" w:color="auto" w:fill="FFFFFF"/>
          <w:lang w:val="en-US" w:eastAsia="zh-CN"/>
        </w:rPr>
        <w:t>1532.36</w:t>
      </w:r>
      <w:r>
        <w:rPr>
          <w:rFonts w:hint="eastAsia" w:ascii="仿宋_GB2312" w:hAnsi="宋体" w:eastAsia="仿宋_GB2312" w:cs="宋体"/>
          <w:color w:val="000000"/>
          <w:kern w:val="0"/>
          <w:sz w:val="32"/>
          <w:szCs w:val="32"/>
          <w:shd w:val="clear" w:color="auto" w:fill="FFFFFF"/>
          <w:lang w:val="zh-CN"/>
        </w:rPr>
        <w:t>万元，对个人和家庭补助支出</w:t>
      </w:r>
      <w:r>
        <w:rPr>
          <w:rFonts w:hint="eastAsia" w:ascii="仿宋_GB2312" w:hAnsi="宋体" w:eastAsia="仿宋_GB2312" w:cs="宋体"/>
          <w:color w:val="000000"/>
          <w:kern w:val="0"/>
          <w:sz w:val="32"/>
          <w:szCs w:val="32"/>
          <w:shd w:val="clear" w:color="auto" w:fill="FFFFFF"/>
          <w:lang w:val="en-US" w:eastAsia="zh-CN"/>
        </w:rPr>
        <w:t>4.88</w:t>
      </w:r>
      <w:r>
        <w:rPr>
          <w:rFonts w:hint="eastAsia" w:ascii="仿宋_GB2312" w:hAnsi="宋体" w:eastAsia="仿宋_GB2312" w:cs="宋体"/>
          <w:color w:val="000000"/>
          <w:kern w:val="0"/>
          <w:sz w:val="32"/>
          <w:szCs w:val="32"/>
          <w:shd w:val="clear" w:color="auto" w:fill="FFFFFF"/>
          <w:lang w:val="zh-CN"/>
        </w:rPr>
        <w:t>万元，资本性支出</w:t>
      </w:r>
      <w:r>
        <w:rPr>
          <w:rFonts w:hint="eastAsia" w:ascii="仿宋_GB2312" w:hAnsi="宋体" w:eastAsia="仿宋_GB2312" w:cs="宋体"/>
          <w:color w:val="000000"/>
          <w:kern w:val="0"/>
          <w:sz w:val="32"/>
          <w:szCs w:val="32"/>
          <w:shd w:val="clear" w:color="auto" w:fill="FFFFFF"/>
          <w:lang w:val="en-US" w:eastAsia="zh-CN"/>
        </w:rPr>
        <w:t>273.57</w:t>
      </w:r>
      <w:r>
        <w:rPr>
          <w:rFonts w:hint="eastAsia" w:ascii="仿宋_GB2312" w:hAnsi="宋体" w:eastAsia="仿宋_GB2312" w:cs="宋体"/>
          <w:color w:val="000000"/>
          <w:kern w:val="0"/>
          <w:sz w:val="32"/>
          <w:szCs w:val="32"/>
          <w:shd w:val="clear" w:color="auto" w:fill="FFFFFF"/>
          <w:lang w:val="zh-CN"/>
        </w:rPr>
        <w:t>万元，对企业的补助164.9万元。决算总收入</w:t>
      </w:r>
      <w:r>
        <w:rPr>
          <w:rFonts w:hint="eastAsia" w:ascii="仿宋_GB2312" w:hAnsi="宋体" w:eastAsia="仿宋_GB2312" w:cs="宋体"/>
          <w:color w:val="000000"/>
          <w:kern w:val="0"/>
          <w:sz w:val="32"/>
          <w:szCs w:val="32"/>
          <w:shd w:val="clear" w:color="auto" w:fill="FFFFFF"/>
          <w:lang w:val="en-US" w:eastAsia="zh-CN"/>
        </w:rPr>
        <w:t>3071.58</w:t>
      </w:r>
      <w:r>
        <w:rPr>
          <w:rFonts w:hint="eastAsia" w:ascii="仿宋_GB2312" w:hAnsi="宋体" w:eastAsia="仿宋_GB2312" w:cs="宋体"/>
          <w:color w:val="000000"/>
          <w:kern w:val="0"/>
          <w:sz w:val="32"/>
          <w:szCs w:val="32"/>
          <w:shd w:val="clear" w:color="auto" w:fill="FFFFFF"/>
          <w:lang w:val="zh-CN"/>
        </w:rPr>
        <w:t>万元，决算总支出</w:t>
      </w:r>
      <w:r>
        <w:rPr>
          <w:rFonts w:hint="eastAsia" w:ascii="仿宋_GB2312" w:hAnsi="宋体" w:eastAsia="仿宋_GB2312" w:cs="宋体"/>
          <w:color w:val="000000"/>
          <w:kern w:val="0"/>
          <w:sz w:val="32"/>
          <w:szCs w:val="32"/>
          <w:shd w:val="clear" w:color="auto" w:fill="FFFFFF"/>
          <w:lang w:val="en-US" w:eastAsia="zh-CN"/>
        </w:rPr>
        <w:t>2175.24</w:t>
      </w:r>
      <w:r>
        <w:rPr>
          <w:rFonts w:hint="eastAsia" w:ascii="仿宋_GB2312" w:hAnsi="宋体" w:eastAsia="仿宋_GB2312" w:cs="宋体"/>
          <w:color w:val="000000"/>
          <w:kern w:val="0"/>
          <w:sz w:val="32"/>
          <w:szCs w:val="32"/>
          <w:shd w:val="clear" w:color="auto" w:fill="FFFFFF"/>
          <w:lang w:val="zh-CN"/>
        </w:rPr>
        <w:t>万元，结转下年度资金</w:t>
      </w:r>
      <w:r>
        <w:rPr>
          <w:rFonts w:hint="eastAsia" w:ascii="仿宋_GB2312" w:hAnsi="宋体" w:eastAsia="仿宋_GB2312" w:cs="宋体"/>
          <w:color w:val="000000"/>
          <w:kern w:val="0"/>
          <w:sz w:val="32"/>
          <w:szCs w:val="32"/>
          <w:shd w:val="clear" w:color="auto" w:fill="FFFFFF"/>
          <w:lang w:val="en-US" w:eastAsia="zh-CN"/>
        </w:rPr>
        <w:t>90</w:t>
      </w:r>
      <w:r>
        <w:rPr>
          <w:rFonts w:hint="eastAsia" w:ascii="仿宋_GB2312" w:hAnsi="宋体" w:eastAsia="仿宋_GB2312" w:cs="宋体"/>
          <w:color w:val="000000"/>
          <w:kern w:val="0"/>
          <w:sz w:val="32"/>
          <w:szCs w:val="32"/>
          <w:shd w:val="clear" w:color="auto" w:fill="FFFFFF"/>
          <w:lang w:val="zh-CN"/>
        </w:rPr>
        <w:t>2</w:t>
      </w:r>
      <w:r>
        <w:rPr>
          <w:rFonts w:hint="eastAsia" w:ascii="仿宋_GB2312" w:hAnsi="宋体" w:eastAsia="仿宋_GB2312" w:cs="宋体"/>
          <w:color w:val="000000"/>
          <w:kern w:val="0"/>
          <w:sz w:val="32"/>
          <w:szCs w:val="32"/>
          <w:shd w:val="clear" w:color="auto" w:fill="FFFFFF"/>
          <w:lang w:val="en-US" w:eastAsia="zh-CN"/>
        </w:rPr>
        <w:t>.34</w:t>
      </w:r>
      <w:r>
        <w:rPr>
          <w:rFonts w:hint="eastAsia" w:ascii="仿宋_GB2312" w:hAnsi="宋体" w:eastAsia="仿宋_GB2312" w:cs="宋体"/>
          <w:color w:val="000000"/>
          <w:kern w:val="0"/>
          <w:sz w:val="32"/>
          <w:szCs w:val="32"/>
          <w:shd w:val="clear" w:color="auto" w:fill="FFFFFF"/>
          <w:lang w:val="zh-CN"/>
        </w:rPr>
        <w:t>万元</w:t>
      </w:r>
      <w:r>
        <w:rPr>
          <w:rFonts w:hint="eastAsia" w:ascii="仿宋_GB2312" w:hAnsi="宋体" w:eastAsia="仿宋_GB2312" w:cs="宋体"/>
          <w:color w:val="000000"/>
          <w:kern w:val="0"/>
          <w:sz w:val="32"/>
          <w:szCs w:val="32"/>
          <w:shd w:val="clear" w:color="auto" w:fill="FFFFFF"/>
          <w:lang w:val="zh-CN" w:eastAsia="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根据预算编制要求，我局机关2020年将全部收支纳入预算编制，执法局机关共编制项目支出预算16个（常规类项目支出10个，发展类6个）。编制的项目支出绩效目标合理、完整。下属单位均按照要求编制项目支出绩效目标。在项目实施及经费支出中，严格按照中央、省、市及单位内部相关规定执行，加强内部控制及管理，确保财政资金高效利用。在绩效评价上，始终秉承客观、公正的原则，对发现的问题及时反馈并整改落实。</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lang w:val="zh-CN" w:eastAsia="zh-CN"/>
        </w:rPr>
        <w:t>二）</w:t>
      </w:r>
      <w:r>
        <w:rPr>
          <w:rFonts w:hint="eastAsia" w:ascii="仿宋_GB2312" w:hAnsi="宋体" w:eastAsia="仿宋_GB2312" w:cs="宋体"/>
          <w:color w:val="000000"/>
          <w:kern w:val="0"/>
          <w:sz w:val="32"/>
          <w:szCs w:val="32"/>
          <w:shd w:val="clear" w:color="auto" w:fill="FFFFFF"/>
          <w:lang w:val="zh-CN"/>
        </w:rPr>
        <w:t>综合管理情况。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rPr>
        <w:t>一是我局严格按照政府采购要求，对应纳入集中采购的项目，严格按照规定组织实施采购。2020年我局（含下属单位）采购合计金额</w:t>
      </w:r>
      <w:r>
        <w:rPr>
          <w:rFonts w:hint="eastAsia" w:ascii="仿宋_GB2312" w:hAnsi="宋体" w:eastAsia="仿宋_GB2312" w:cs="宋体"/>
          <w:color w:val="000000"/>
          <w:kern w:val="0"/>
          <w:sz w:val="32"/>
          <w:szCs w:val="32"/>
          <w:shd w:val="clear" w:color="auto" w:fill="FFFFFF"/>
          <w:lang w:val="en-US" w:eastAsia="zh-CN"/>
        </w:rPr>
        <w:t>263.44</w:t>
      </w:r>
      <w:r>
        <w:rPr>
          <w:rFonts w:hint="eastAsia" w:ascii="仿宋_GB2312" w:hAnsi="宋体" w:eastAsia="仿宋_GB2312" w:cs="宋体"/>
          <w:color w:val="000000"/>
          <w:kern w:val="0"/>
          <w:sz w:val="32"/>
          <w:szCs w:val="32"/>
          <w:shd w:val="clear" w:color="auto" w:fill="FFFFFF"/>
          <w:lang w:val="zh-CN"/>
        </w:rPr>
        <w:t>万元，其中集中采购设备9批次，涉及金额9.94万元，公众服务中心采购数字化平台升级维护1次数，涉及金额253.5万元</w:t>
      </w:r>
      <w:r>
        <w:rPr>
          <w:rFonts w:hint="eastAsia" w:ascii="仿宋_GB2312" w:hAnsi="宋体" w:eastAsia="仿宋_GB2312" w:cs="宋体"/>
          <w:color w:val="000000"/>
          <w:kern w:val="0"/>
          <w:sz w:val="32"/>
          <w:szCs w:val="32"/>
          <w:shd w:val="clear" w:color="auto" w:fill="FFFFFF"/>
          <w:lang w:val="zh-CN" w:eastAsia="zh-CN"/>
        </w:rPr>
        <w:t>。</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rPr>
        <w:t>二是严格三公经费使用管理，2020年度我局三公经费年初预算71.6万元，2020年实际支出65.39万元</w:t>
      </w:r>
      <w:r>
        <w:rPr>
          <w:rFonts w:hint="eastAsia" w:ascii="仿宋_GB2312" w:hAnsi="宋体" w:eastAsia="仿宋_GB2312" w:cs="宋体"/>
          <w:color w:val="000000"/>
          <w:kern w:val="0"/>
          <w:sz w:val="32"/>
          <w:szCs w:val="32"/>
          <w:shd w:val="clear" w:color="auto" w:fill="FFFFFF"/>
          <w:lang w:val="zh-CN" w:eastAsia="zh-CN"/>
        </w:rPr>
        <w:t>。</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rPr>
        <w:t>三是严格资产管理，定期核对，保证账实相符，2020年11月聘请三方机构对我局资产全面清理</w:t>
      </w:r>
      <w:r>
        <w:rPr>
          <w:rFonts w:hint="eastAsia" w:ascii="仿宋_GB2312" w:hAnsi="宋体" w:eastAsia="仿宋_GB2312" w:cs="宋体"/>
          <w:color w:val="000000"/>
          <w:kern w:val="0"/>
          <w:sz w:val="32"/>
          <w:szCs w:val="32"/>
          <w:shd w:val="clear" w:color="auto" w:fill="FFFFFF"/>
          <w:lang w:val="en-US" w:eastAsia="zh-CN"/>
        </w:rPr>
        <w:t>。</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eastAsia="zh-CN"/>
        </w:rPr>
      </w:pPr>
      <w:r>
        <w:rPr>
          <w:rFonts w:hint="eastAsia" w:ascii="仿宋_GB2312" w:hAnsi="宋体" w:eastAsia="仿宋_GB2312" w:cs="宋体"/>
          <w:color w:val="000000"/>
          <w:kern w:val="0"/>
          <w:sz w:val="32"/>
          <w:szCs w:val="32"/>
          <w:shd w:val="clear" w:color="auto" w:fill="FFFFFF"/>
          <w:lang w:val="zh-CN"/>
        </w:rPr>
        <w:t>四是严格财务核算，每年年度结束后，对上年度财务执行及核算情况进行审计</w:t>
      </w:r>
      <w:r>
        <w:rPr>
          <w:rFonts w:hint="eastAsia" w:ascii="仿宋_GB2312" w:hAnsi="宋体" w:eastAsia="仿宋_GB2312" w:cs="宋体"/>
          <w:color w:val="000000"/>
          <w:kern w:val="0"/>
          <w:sz w:val="32"/>
          <w:szCs w:val="32"/>
          <w:shd w:val="clear" w:color="auto" w:fill="FFFFFF"/>
          <w:lang w:val="zh-CN" w:eastAsia="zh-CN"/>
        </w:rPr>
        <w:t>。</w:t>
      </w:r>
    </w:p>
    <w:p>
      <w:pPr>
        <w:widowControl/>
        <w:adjustRightInd w:val="0"/>
        <w:snapToGrid w:val="0"/>
        <w:spacing w:line="580" w:lineRule="exact"/>
        <w:ind w:firstLine="640" w:firstLineChars="200"/>
        <w:contextualSpacing/>
        <w:jc w:val="left"/>
        <w:rPr>
          <w:rFonts w:ascii="Times New Roman" w:hAnsi="Times New Roman" w:eastAsia="方正仿宋简体" w:cs="Times New Roman"/>
          <w:sz w:val="32"/>
          <w:szCs w:val="32"/>
        </w:rPr>
      </w:pPr>
      <w:r>
        <w:rPr>
          <w:rFonts w:hint="eastAsia" w:ascii="仿宋_GB2312" w:hAnsi="宋体" w:eastAsia="仿宋_GB2312" w:cs="宋体"/>
          <w:color w:val="000000"/>
          <w:kern w:val="0"/>
          <w:sz w:val="32"/>
          <w:szCs w:val="32"/>
          <w:shd w:val="clear" w:color="auto" w:fill="FFFFFF"/>
          <w:lang w:val="zh-CN"/>
        </w:rPr>
        <w:t>五是按照财政部门的要求在财政集中公开专栏及单位门户网站公开年度预算决算及三公经费使用情况。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lang w:val="zh-CN" w:eastAsia="zh-CN"/>
        </w:rPr>
        <w:t>三）</w:t>
      </w:r>
      <w:r>
        <w:rPr>
          <w:rFonts w:hint="eastAsia" w:ascii="仿宋_GB2312" w:hAnsi="宋体" w:eastAsia="仿宋_GB2312" w:cs="宋体"/>
          <w:color w:val="000000"/>
          <w:kern w:val="0"/>
          <w:sz w:val="32"/>
          <w:szCs w:val="32"/>
          <w:shd w:val="clear" w:color="auto" w:fill="FFFFFF"/>
          <w:lang w:val="zh-CN"/>
        </w:rPr>
        <w:t>综合绩效情况。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（1）重点项目绩效评价结果</w:t>
      </w:r>
    </w:p>
    <w:p>
      <w:pPr>
        <w:widowControl/>
        <w:adjustRightInd w:val="0"/>
        <w:snapToGrid w:val="0"/>
        <w:spacing w:line="580" w:lineRule="exact"/>
        <w:ind w:firstLine="643" w:firstLineChars="200"/>
        <w:contextualSpacing/>
        <w:jc w:val="left"/>
        <w:rPr>
          <w:rFonts w:hint="eastAsia"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1.城市管理购买服务项目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项目资金申报及批复情况。我单位已于2020年年初对该项目进行预算申报，财政年初批复600万元，根据招标及合同情况年终申请调整增加210万元，共计810万元。</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项目绩效目标。完成对信合大厦至江北大道盛华堂片区和龙泉街至火车站、半山逸城、凯悦名城等区域的城市管理购买服务相关工作；对江北大道（盛华堂至党校）至大佛寺桥头、二环路（德阳银行至党校）及支街小巷及宕梁片区（信合大厦—后河桥—插旗山等）区域城市管理购买服务相关工作。</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项目效益情况。通过购买服务对非机动车辆停放</w:t>
      </w:r>
      <w:r>
        <w:rPr>
          <w:rFonts w:hint="eastAsia" w:ascii="仿宋_GB2312" w:hAnsi="宋体" w:eastAsia="仿宋_GB2312" w:cs="宋体"/>
          <w:color w:val="000000"/>
          <w:kern w:val="0"/>
          <w:sz w:val="32"/>
          <w:szCs w:val="32"/>
          <w:shd w:val="clear" w:color="auto" w:fill="FFFFFF"/>
          <w:lang w:val="zh-CN" w:eastAsia="zh-CN"/>
        </w:rPr>
        <w:t>不规范、占道经营、乱贴小广告等行为</w:t>
      </w:r>
      <w:r>
        <w:rPr>
          <w:rFonts w:hint="eastAsia" w:ascii="仿宋_GB2312" w:hAnsi="宋体" w:eastAsia="仿宋_GB2312" w:cs="宋体"/>
          <w:color w:val="000000"/>
          <w:kern w:val="0"/>
          <w:sz w:val="32"/>
          <w:szCs w:val="32"/>
          <w:shd w:val="clear" w:color="auto" w:fill="FFFFFF"/>
          <w:lang w:val="zh-CN"/>
        </w:rPr>
        <w:t>进行劝导，对违法建设进行有效控制；对城市管理各种违法、违规行为进行有</w:t>
      </w:r>
      <w:r>
        <w:rPr>
          <w:rFonts w:hint="eastAsia" w:ascii="仿宋_GB2312" w:hAnsi="宋体" w:eastAsia="仿宋_GB2312" w:cs="宋体"/>
          <w:color w:val="000000"/>
          <w:kern w:val="0"/>
          <w:sz w:val="32"/>
          <w:szCs w:val="32"/>
          <w:shd w:val="clear" w:color="auto" w:fill="FFFFFF"/>
          <w:lang w:val="zh-CN" w:eastAsia="zh-CN"/>
        </w:rPr>
        <w:t>效</w:t>
      </w:r>
      <w:r>
        <w:rPr>
          <w:rFonts w:hint="eastAsia" w:ascii="仿宋_GB2312" w:hAnsi="宋体" w:eastAsia="仿宋_GB2312" w:cs="宋体"/>
          <w:color w:val="000000"/>
          <w:kern w:val="0"/>
          <w:sz w:val="32"/>
          <w:szCs w:val="32"/>
          <w:shd w:val="clear" w:color="auto" w:fill="FFFFFF"/>
          <w:lang w:val="zh-CN"/>
        </w:rPr>
        <w:t>整治，为经济发展创造</w:t>
      </w:r>
      <w:r>
        <w:rPr>
          <w:rFonts w:hint="eastAsia" w:ascii="仿宋_GB2312" w:hAnsi="宋体" w:eastAsia="仿宋_GB2312" w:cs="宋体"/>
          <w:color w:val="000000"/>
          <w:kern w:val="0"/>
          <w:sz w:val="32"/>
          <w:szCs w:val="32"/>
          <w:shd w:val="clear" w:color="auto" w:fill="FFFFFF"/>
          <w:lang w:val="zh-CN" w:eastAsia="zh-CN"/>
        </w:rPr>
        <w:t>了</w:t>
      </w:r>
      <w:r>
        <w:rPr>
          <w:rFonts w:hint="eastAsia" w:ascii="仿宋_GB2312" w:hAnsi="宋体" w:eastAsia="仿宋_GB2312" w:cs="宋体"/>
          <w:color w:val="000000"/>
          <w:kern w:val="0"/>
          <w:sz w:val="32"/>
          <w:szCs w:val="32"/>
          <w:shd w:val="clear" w:color="auto" w:fill="FFFFFF"/>
          <w:lang w:val="zh-CN"/>
        </w:rPr>
        <w:t>有利的投资环境。加强了对城市管理乱象的治理力度，创造干净、有序的城市环境</w:t>
      </w:r>
      <w:r>
        <w:rPr>
          <w:rFonts w:hint="eastAsia" w:ascii="仿宋_GB2312" w:hAnsi="宋体" w:eastAsia="仿宋_GB2312" w:cs="宋体"/>
          <w:color w:val="000000"/>
          <w:kern w:val="0"/>
          <w:sz w:val="32"/>
          <w:szCs w:val="32"/>
          <w:shd w:val="clear" w:color="auto" w:fill="FFFFFF"/>
          <w:lang w:val="zh-CN" w:eastAsia="zh-CN"/>
        </w:rPr>
        <w:t>，</w:t>
      </w:r>
      <w:r>
        <w:rPr>
          <w:rFonts w:hint="eastAsia" w:ascii="仿宋_GB2312" w:hAnsi="宋体" w:eastAsia="仿宋_GB2312" w:cs="宋体"/>
          <w:color w:val="000000"/>
          <w:kern w:val="0"/>
          <w:sz w:val="32"/>
          <w:szCs w:val="32"/>
          <w:shd w:val="clear" w:color="auto" w:fill="FFFFFF"/>
          <w:lang w:val="zh-CN"/>
        </w:rPr>
        <w:t>为创文保卫工作注入了力量。</w:t>
      </w:r>
    </w:p>
    <w:p>
      <w:pPr>
        <w:keepNext w:val="0"/>
        <w:keepLines w:val="0"/>
        <w:pageBreakBefore w:val="0"/>
        <w:widowControl w:val="0"/>
        <w:kinsoku/>
        <w:wordWrap/>
        <w:overflowPunct/>
        <w:topLinePunct w:val="0"/>
        <w:autoSpaceDE/>
        <w:autoSpaceDN/>
        <w:bidi w:val="0"/>
        <w:adjustRightInd w:val="0"/>
        <w:snapToGrid w:val="0"/>
        <w:spacing w:line="580" w:lineRule="exact"/>
        <w:ind w:firstLine="803" w:firstLineChars="250"/>
        <w:textAlignment w:val="auto"/>
        <w:rPr>
          <w:rFonts w:ascii="方正仿宋简体" w:hAnsi="仿宋" w:eastAsia="方正仿宋简体" w:cs="Times New Roman"/>
          <w:b/>
          <w:sz w:val="32"/>
          <w:szCs w:val="32"/>
        </w:rPr>
      </w:pPr>
      <w:r>
        <w:rPr>
          <w:rFonts w:hint="eastAsia" w:ascii="方正仿宋简体" w:hAnsi="仿宋" w:eastAsia="方正仿宋简体" w:cs="Times New Roman"/>
          <w:b/>
          <w:sz w:val="32"/>
          <w:szCs w:val="32"/>
        </w:rPr>
        <w:t>2. 拆除违法建设、违规设置构筑物拆（清）除经费</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项目资金申报及批复情况。根据《城乡规划法》、《建筑法》等法律法规，国家部委、省人民政府出台对城乡规划、建设的相关条例及我局承担的职能职责，对城市规划区范围违法建设、违法构建蓝顶子、破损灯箱广告、违规设置广告、摊棚、违规占道物等进行强制拆除。经初步统计，2020年计划拆除存量违法建设6万平方米左右。年初对该项目进行预算申报，财政</w:t>
      </w:r>
      <w:r>
        <w:rPr>
          <w:rFonts w:hint="eastAsia" w:ascii="仿宋_GB2312" w:hAnsi="宋体" w:eastAsia="仿宋_GB2312" w:cs="宋体"/>
          <w:color w:val="000000"/>
          <w:kern w:val="0"/>
          <w:sz w:val="32"/>
          <w:szCs w:val="32"/>
          <w:shd w:val="clear" w:color="auto" w:fill="FFFFFF"/>
          <w:lang w:val="zh-CN" w:eastAsia="zh-CN"/>
        </w:rPr>
        <w:t>年初</w:t>
      </w:r>
      <w:r>
        <w:rPr>
          <w:rFonts w:hint="eastAsia" w:ascii="仿宋_GB2312" w:hAnsi="宋体" w:eastAsia="仿宋_GB2312" w:cs="宋体"/>
          <w:color w:val="000000"/>
          <w:kern w:val="0"/>
          <w:sz w:val="32"/>
          <w:szCs w:val="32"/>
          <w:shd w:val="clear" w:color="auto" w:fill="FFFFFF"/>
          <w:lang w:val="zh-CN"/>
        </w:rPr>
        <w:t>批复200万元，年终在执法经费中增加150万元，实际支出471万元，缺口121万元。</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项目绩效目标。对城市规划区范围违法建设、违法构建蓝顶子、破损灯箱广告、违规设置广告、摊棚、违规占道物等进行强制拆除，全年拆除妨碍公共空间展开的围墙7400米，增加绿化面积1.4万平方米，拆除违法建设12.3万平方米。</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项目效益情况。经济效益：减少因修建违法建设而涉及的拆迁费用；创建良好的城市和自然环境吸引外商投资。社会效益：减少违法建设的修建，新生违法建设实现逐年减少；打击违法建设、维护建设、房地产市场</w:t>
      </w:r>
      <w:r>
        <w:rPr>
          <w:rFonts w:hint="eastAsia" w:ascii="仿宋_GB2312" w:hAnsi="宋体" w:eastAsia="仿宋_GB2312" w:cs="宋体"/>
          <w:color w:val="000000"/>
          <w:kern w:val="0"/>
          <w:sz w:val="32"/>
          <w:szCs w:val="32"/>
          <w:shd w:val="clear" w:color="auto" w:fill="FFFFFF"/>
          <w:lang w:val="zh-CN" w:eastAsia="zh-CN"/>
        </w:rPr>
        <w:t>秩序。</w:t>
      </w:r>
      <w:r>
        <w:rPr>
          <w:rFonts w:hint="eastAsia" w:ascii="仿宋_GB2312" w:hAnsi="宋体" w:eastAsia="仿宋_GB2312" w:cs="宋体"/>
          <w:color w:val="000000"/>
          <w:kern w:val="0"/>
          <w:sz w:val="32"/>
          <w:szCs w:val="32"/>
          <w:shd w:val="clear" w:color="auto" w:fill="FFFFFF"/>
          <w:lang w:val="zh-CN"/>
        </w:rPr>
        <w:t>社会效益：改善城市生态和生活环境。</w:t>
      </w:r>
    </w:p>
    <w:p>
      <w:pPr>
        <w:keepNext w:val="0"/>
        <w:keepLines w:val="0"/>
        <w:pageBreakBefore w:val="0"/>
        <w:widowControl w:val="0"/>
        <w:kinsoku/>
        <w:wordWrap/>
        <w:overflowPunct/>
        <w:topLinePunct w:val="0"/>
        <w:autoSpaceDE/>
        <w:autoSpaceDN/>
        <w:bidi w:val="0"/>
        <w:adjustRightInd w:val="0"/>
        <w:snapToGrid w:val="0"/>
        <w:spacing w:line="580" w:lineRule="exact"/>
        <w:ind w:firstLine="803" w:firstLineChars="250"/>
        <w:textAlignment w:val="auto"/>
        <w:rPr>
          <w:rFonts w:ascii="方正仿宋简体" w:hAnsi="仿宋" w:eastAsia="方正仿宋简体" w:cs="Times New Roman"/>
          <w:b/>
          <w:sz w:val="32"/>
          <w:szCs w:val="32"/>
        </w:rPr>
      </w:pPr>
      <w:r>
        <w:rPr>
          <w:rFonts w:hint="eastAsia" w:ascii="方正仿宋简体" w:hAnsi="仿宋" w:eastAsia="方正仿宋简体" w:cs="Times New Roman"/>
          <w:b/>
          <w:sz w:val="32"/>
          <w:szCs w:val="32"/>
        </w:rPr>
        <w:t>3.公益广告宣传经费</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zh-CN"/>
        </w:rPr>
        <w:t>项目资金申报及批复情况。年初</w:t>
      </w:r>
      <w:r>
        <w:rPr>
          <w:rFonts w:hint="eastAsia" w:ascii="仿宋_GB2312" w:hAnsi="宋体" w:eastAsia="仿宋_GB2312" w:cs="宋体"/>
          <w:color w:val="000000"/>
          <w:kern w:val="0"/>
          <w:sz w:val="32"/>
          <w:szCs w:val="32"/>
          <w:shd w:val="clear" w:color="auto" w:fill="FFFFFF"/>
          <w:lang w:val="zh-CN" w:eastAsia="zh-CN"/>
        </w:rPr>
        <w:t>对该项目</w:t>
      </w:r>
      <w:r>
        <w:rPr>
          <w:rFonts w:hint="eastAsia" w:ascii="仿宋_GB2312" w:hAnsi="宋体" w:eastAsia="仿宋_GB2312" w:cs="宋体"/>
          <w:color w:val="000000"/>
          <w:kern w:val="0"/>
          <w:sz w:val="32"/>
          <w:szCs w:val="32"/>
          <w:shd w:val="clear" w:color="auto" w:fill="FFFFFF"/>
          <w:lang w:val="zh-CN"/>
        </w:rPr>
        <w:t>预算</w:t>
      </w:r>
      <w:r>
        <w:rPr>
          <w:rFonts w:hint="eastAsia" w:ascii="仿宋_GB2312" w:hAnsi="宋体" w:eastAsia="仿宋_GB2312" w:cs="宋体"/>
          <w:color w:val="000000"/>
          <w:kern w:val="0"/>
          <w:sz w:val="32"/>
          <w:szCs w:val="32"/>
          <w:shd w:val="clear" w:color="auto" w:fill="FFFFFF"/>
          <w:lang w:val="zh-CN" w:eastAsia="zh-CN"/>
        </w:rPr>
        <w:t>进行</w:t>
      </w:r>
      <w:r>
        <w:rPr>
          <w:rFonts w:hint="eastAsia" w:ascii="仿宋_GB2312" w:hAnsi="宋体" w:eastAsia="仿宋_GB2312" w:cs="宋体"/>
          <w:color w:val="000000"/>
          <w:kern w:val="0"/>
          <w:sz w:val="32"/>
          <w:szCs w:val="32"/>
          <w:shd w:val="clear" w:color="auto" w:fill="FFFFFF"/>
          <w:lang w:val="zh-CN"/>
        </w:rPr>
        <w:t>申报，</w:t>
      </w:r>
      <w:r>
        <w:rPr>
          <w:rFonts w:hint="eastAsia" w:ascii="仿宋_GB2312" w:hAnsi="宋体" w:eastAsia="仿宋_GB2312" w:cs="宋体"/>
          <w:color w:val="000000"/>
          <w:kern w:val="0"/>
          <w:sz w:val="32"/>
          <w:szCs w:val="32"/>
          <w:shd w:val="clear" w:color="auto" w:fill="FFFFFF"/>
          <w:lang w:val="zh-CN" w:eastAsia="zh-CN"/>
        </w:rPr>
        <w:t>财政年初批复</w:t>
      </w:r>
      <w:r>
        <w:rPr>
          <w:rFonts w:hint="eastAsia" w:ascii="仿宋_GB2312" w:hAnsi="宋体" w:eastAsia="仿宋_GB2312" w:cs="宋体"/>
          <w:color w:val="000000"/>
          <w:kern w:val="0"/>
          <w:sz w:val="32"/>
          <w:szCs w:val="32"/>
          <w:shd w:val="clear" w:color="auto" w:fill="FFFFFF"/>
          <w:lang w:val="en-US" w:eastAsia="zh-CN"/>
        </w:rPr>
        <w:t>27万元。</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项目绩效目标。完成</w:t>
      </w:r>
      <w:r>
        <w:rPr>
          <w:rFonts w:hint="eastAsia" w:ascii="仿宋_GB2312" w:hAnsi="宋体" w:eastAsia="仿宋_GB2312" w:cs="宋体"/>
          <w:color w:val="000000"/>
          <w:kern w:val="0"/>
          <w:sz w:val="32"/>
          <w:szCs w:val="32"/>
          <w:shd w:val="clear" w:color="auto" w:fill="FFFFFF"/>
          <w:lang w:val="zh-CN" w:eastAsia="zh-CN"/>
        </w:rPr>
        <w:t>我单位及相关部门下达的公益广告宣传任务</w:t>
      </w:r>
      <w:r>
        <w:rPr>
          <w:rFonts w:hint="eastAsia" w:ascii="仿宋_GB2312" w:hAnsi="宋体" w:eastAsia="仿宋_GB2312" w:cs="宋体"/>
          <w:color w:val="000000"/>
          <w:kern w:val="0"/>
          <w:sz w:val="32"/>
          <w:szCs w:val="32"/>
          <w:shd w:val="clear" w:color="auto" w:fill="FFFFFF"/>
          <w:lang w:val="zh-CN"/>
        </w:rPr>
        <w:t>，发挥公交站台、LED大屏、单立柱等户外广告媒介宣传</w:t>
      </w:r>
      <w:r>
        <w:rPr>
          <w:rFonts w:hint="eastAsia" w:ascii="仿宋_GB2312" w:hAnsi="宋体" w:eastAsia="仿宋_GB2312" w:cs="宋体"/>
          <w:color w:val="000000"/>
          <w:kern w:val="0"/>
          <w:sz w:val="32"/>
          <w:szCs w:val="32"/>
          <w:shd w:val="clear" w:color="auto" w:fill="FFFFFF"/>
          <w:lang w:val="zh-CN" w:eastAsia="zh-CN"/>
        </w:rPr>
        <w:t>作用</w:t>
      </w:r>
      <w:r>
        <w:rPr>
          <w:rFonts w:hint="eastAsia" w:ascii="仿宋_GB2312" w:hAnsi="宋体" w:eastAsia="仿宋_GB2312" w:cs="宋体"/>
          <w:color w:val="000000"/>
          <w:kern w:val="0"/>
          <w:sz w:val="32"/>
          <w:szCs w:val="32"/>
          <w:shd w:val="clear" w:color="auto" w:fill="FFFFFF"/>
          <w:lang w:val="zh-CN"/>
        </w:rPr>
        <w:t>，提升巴城形象和品质。</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项目效益情况。经济效益：大幅提升资源集约高效利用率社会效益：增加市民知晓率，使市民对城市管理、创文工作知晓率不断提升，市民素质不断提升，收到良好宣传效果。</w:t>
      </w:r>
    </w:p>
    <w:p>
      <w:pPr>
        <w:keepNext w:val="0"/>
        <w:keepLines w:val="0"/>
        <w:pageBreakBefore w:val="0"/>
        <w:widowControl w:val="0"/>
        <w:kinsoku/>
        <w:wordWrap/>
        <w:overflowPunct/>
        <w:topLinePunct w:val="0"/>
        <w:autoSpaceDE/>
        <w:autoSpaceDN/>
        <w:bidi w:val="0"/>
        <w:adjustRightInd w:val="0"/>
        <w:snapToGrid w:val="0"/>
        <w:spacing w:line="580" w:lineRule="exact"/>
        <w:ind w:firstLine="803" w:firstLineChars="250"/>
        <w:textAlignment w:val="auto"/>
        <w:rPr>
          <w:rFonts w:ascii="方正仿宋简体" w:hAnsi="仿宋" w:eastAsia="方正仿宋简体" w:cs="Times New Roman"/>
          <w:b/>
          <w:sz w:val="32"/>
          <w:szCs w:val="32"/>
        </w:rPr>
      </w:pPr>
      <w:r>
        <w:rPr>
          <w:rFonts w:hint="eastAsia" w:ascii="方正仿宋简体" w:hAnsi="仿宋" w:eastAsia="方正仿宋简体" w:cs="Times New Roman"/>
          <w:b/>
          <w:sz w:val="32"/>
          <w:szCs w:val="32"/>
        </w:rPr>
        <w:t>4.信息公示栏制作经费项目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项目资金申报及批复情况。 202</w:t>
      </w:r>
      <w:r>
        <w:rPr>
          <w:rFonts w:hint="eastAsia" w:ascii="仿宋_GB2312" w:hAnsi="宋体" w:eastAsia="仿宋_GB2312" w:cs="宋体"/>
          <w:color w:val="000000"/>
          <w:kern w:val="0"/>
          <w:sz w:val="32"/>
          <w:szCs w:val="32"/>
          <w:shd w:val="clear" w:color="auto" w:fill="FFFFFF"/>
          <w:lang w:val="en-US" w:eastAsia="zh-CN"/>
        </w:rPr>
        <w:t>0</w:t>
      </w:r>
      <w:r>
        <w:rPr>
          <w:rFonts w:hint="eastAsia" w:ascii="仿宋_GB2312" w:hAnsi="宋体" w:eastAsia="仿宋_GB2312" w:cs="宋体"/>
          <w:color w:val="000000"/>
          <w:kern w:val="0"/>
          <w:sz w:val="32"/>
          <w:szCs w:val="32"/>
          <w:shd w:val="clear" w:color="auto" w:fill="FFFFFF"/>
          <w:lang w:val="zh-CN"/>
        </w:rPr>
        <w:t>年初对信息公示栏制作经费项目进行预算申报，申报金额18万元</w:t>
      </w:r>
      <w:r>
        <w:rPr>
          <w:rFonts w:hint="eastAsia" w:ascii="仿宋_GB2312" w:hAnsi="宋体" w:eastAsia="仿宋_GB2312" w:cs="宋体"/>
          <w:color w:val="000000"/>
          <w:kern w:val="0"/>
          <w:sz w:val="32"/>
          <w:szCs w:val="32"/>
          <w:shd w:val="clear" w:color="auto" w:fill="FFFFFF"/>
          <w:lang w:val="zh-CN" w:eastAsia="zh-CN"/>
        </w:rPr>
        <w:t>。</w:t>
      </w:r>
      <w:r>
        <w:rPr>
          <w:rFonts w:hint="eastAsia" w:ascii="仿宋_GB2312" w:hAnsi="宋体" w:eastAsia="仿宋_GB2312" w:cs="宋体"/>
          <w:color w:val="000000"/>
          <w:kern w:val="0"/>
          <w:sz w:val="32"/>
          <w:szCs w:val="32"/>
          <w:shd w:val="clear" w:color="auto" w:fill="FFFFFF"/>
          <w:lang w:val="zh-CN"/>
        </w:rPr>
        <w:t>财政</w:t>
      </w:r>
      <w:r>
        <w:rPr>
          <w:rFonts w:hint="eastAsia" w:ascii="仿宋_GB2312" w:hAnsi="宋体" w:eastAsia="仿宋_GB2312" w:cs="宋体"/>
          <w:color w:val="000000"/>
          <w:kern w:val="0"/>
          <w:sz w:val="32"/>
          <w:szCs w:val="32"/>
          <w:shd w:val="clear" w:color="auto" w:fill="FFFFFF"/>
          <w:lang w:val="zh-CN" w:eastAsia="zh-CN"/>
        </w:rPr>
        <w:t>年初</w:t>
      </w:r>
      <w:r>
        <w:rPr>
          <w:rFonts w:hint="eastAsia" w:ascii="仿宋_GB2312" w:hAnsi="宋体" w:eastAsia="仿宋_GB2312" w:cs="宋体"/>
          <w:color w:val="000000"/>
          <w:kern w:val="0"/>
          <w:sz w:val="32"/>
          <w:szCs w:val="32"/>
          <w:shd w:val="clear" w:color="auto" w:fill="FFFFFF"/>
          <w:lang w:val="zh-CN"/>
        </w:rPr>
        <w:t>批复18万元。</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项目绩效目标。为规范城区广告张贴行为，治理广告乱象，对已有信息公示栏维护，单位对外宣传制作，展示单位形象。</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项目效益情况。经济效益：节约资源，集约广告发布资源。社会效益：逐渐减少城市广告乱象。生态效益：加强市容环境治理，提升环境治理成效</w:t>
      </w:r>
    </w:p>
    <w:p>
      <w:pPr>
        <w:keepNext w:val="0"/>
        <w:keepLines w:val="0"/>
        <w:pageBreakBefore w:val="0"/>
        <w:widowControl w:val="0"/>
        <w:kinsoku/>
        <w:wordWrap/>
        <w:overflowPunct/>
        <w:topLinePunct w:val="0"/>
        <w:autoSpaceDE/>
        <w:autoSpaceDN/>
        <w:bidi w:val="0"/>
        <w:adjustRightInd w:val="0"/>
        <w:snapToGrid w:val="0"/>
        <w:spacing w:line="580" w:lineRule="exact"/>
        <w:ind w:firstLine="803" w:firstLineChars="250"/>
        <w:textAlignment w:val="auto"/>
        <w:rPr>
          <w:rFonts w:ascii="方正仿宋简体" w:hAnsi="仿宋" w:eastAsia="方正仿宋简体" w:cs="Times New Roman"/>
          <w:b/>
          <w:sz w:val="32"/>
          <w:szCs w:val="32"/>
        </w:rPr>
      </w:pPr>
      <w:r>
        <w:rPr>
          <w:rFonts w:hint="eastAsia" w:ascii="方正仿宋简体" w:hAnsi="仿宋" w:eastAsia="方正仿宋简体" w:cs="Times New Roman"/>
          <w:b/>
          <w:sz w:val="32"/>
          <w:szCs w:val="32"/>
        </w:rPr>
        <w:t>5.“三违”治理工作（督查）经费项目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项目资金申报及批复情况。我单位“三违”治理工作（督查）经费延续以前年度预算安排，年初预算申报4.5万元，</w:t>
      </w:r>
      <w:r>
        <w:rPr>
          <w:rFonts w:hint="eastAsia" w:ascii="仿宋_GB2312" w:hAnsi="宋体" w:eastAsia="仿宋_GB2312" w:cs="宋体"/>
          <w:color w:val="000000"/>
          <w:kern w:val="0"/>
          <w:sz w:val="32"/>
          <w:szCs w:val="32"/>
          <w:shd w:val="clear" w:color="auto" w:fill="FFFFFF"/>
          <w:lang w:val="zh-CN" w:eastAsia="zh-CN"/>
        </w:rPr>
        <w:t>用于</w:t>
      </w:r>
      <w:r>
        <w:rPr>
          <w:rFonts w:hint="eastAsia" w:ascii="仿宋_GB2312" w:hAnsi="宋体" w:eastAsia="仿宋_GB2312" w:cs="宋体"/>
          <w:color w:val="000000"/>
          <w:kern w:val="0"/>
          <w:sz w:val="32"/>
          <w:szCs w:val="32"/>
          <w:shd w:val="clear" w:color="auto" w:fill="FFFFFF"/>
          <w:lang w:val="zh-CN"/>
        </w:rPr>
        <w:t>持续推进违法建设整治“两拆一增”工作，保持新生违法建设零增长，存量违法建设有序消化，积极服务区域经济发展大局、保障重点项目推进、维护社会公平正义。财政</w:t>
      </w:r>
      <w:r>
        <w:rPr>
          <w:rFonts w:hint="eastAsia" w:ascii="仿宋_GB2312" w:hAnsi="宋体" w:eastAsia="仿宋_GB2312" w:cs="宋体"/>
          <w:color w:val="000000"/>
          <w:kern w:val="0"/>
          <w:sz w:val="32"/>
          <w:szCs w:val="32"/>
          <w:shd w:val="clear" w:color="auto" w:fill="FFFFFF"/>
          <w:lang w:val="zh-CN" w:eastAsia="zh-CN"/>
        </w:rPr>
        <w:t>年初</w:t>
      </w:r>
      <w:r>
        <w:rPr>
          <w:rFonts w:hint="eastAsia" w:ascii="仿宋_GB2312" w:hAnsi="宋体" w:eastAsia="仿宋_GB2312" w:cs="宋体"/>
          <w:color w:val="000000"/>
          <w:kern w:val="0"/>
          <w:sz w:val="32"/>
          <w:szCs w:val="32"/>
          <w:shd w:val="clear" w:color="auto" w:fill="FFFFFF"/>
          <w:lang w:val="zh-CN"/>
        </w:rPr>
        <w:t>批复4.5万元。</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项目绩效目标。全市拆违12.3万平方米，强力查处招投标、大气污染相关案件27件，新生违建得到更好遏制。</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项目效益情况。社会效益：维护法规权威、建设秩序，保障社会公平正义，提升城</w:t>
      </w:r>
      <w:r>
        <w:rPr>
          <w:rFonts w:hint="eastAsia" w:ascii="仿宋_GB2312" w:hAnsi="宋体" w:eastAsia="仿宋_GB2312" w:cs="宋体"/>
          <w:color w:val="000000"/>
          <w:kern w:val="0"/>
          <w:sz w:val="32"/>
          <w:szCs w:val="32"/>
          <w:shd w:val="clear" w:color="auto" w:fill="FFFFFF"/>
          <w:lang w:val="zh-CN" w:eastAsia="zh-CN"/>
        </w:rPr>
        <w:t>市</w:t>
      </w:r>
      <w:r>
        <w:rPr>
          <w:rFonts w:hint="eastAsia" w:ascii="仿宋_GB2312" w:hAnsi="宋体" w:eastAsia="仿宋_GB2312" w:cs="宋体"/>
          <w:color w:val="000000"/>
          <w:kern w:val="0"/>
          <w:sz w:val="32"/>
          <w:szCs w:val="32"/>
          <w:shd w:val="clear" w:color="auto" w:fill="FFFFFF"/>
          <w:lang w:val="zh-CN"/>
        </w:rPr>
        <w:t>形象。生态效益：实现绿色发展、建设美丽巴中</w:t>
      </w:r>
      <w:r>
        <w:rPr>
          <w:rFonts w:hint="eastAsia" w:ascii="仿宋_GB2312" w:hAnsi="宋体" w:eastAsia="仿宋_GB2312" w:cs="宋体"/>
          <w:color w:val="000000"/>
          <w:kern w:val="0"/>
          <w:sz w:val="32"/>
          <w:szCs w:val="32"/>
          <w:shd w:val="clear" w:color="auto" w:fill="FFFFFF"/>
          <w:lang w:val="zh-CN" w:eastAsia="zh-CN"/>
        </w:rPr>
        <w:t>。</w:t>
      </w:r>
      <w:r>
        <w:rPr>
          <w:rFonts w:hint="eastAsia" w:ascii="仿宋_GB2312" w:hAnsi="宋体" w:eastAsia="仿宋_GB2312" w:cs="宋体"/>
          <w:color w:val="000000"/>
          <w:kern w:val="0"/>
          <w:sz w:val="32"/>
          <w:szCs w:val="32"/>
          <w:shd w:val="clear" w:color="auto" w:fill="FFFFFF"/>
          <w:lang w:val="zh-CN"/>
        </w:rPr>
        <w:t>可持续影响：实现土地高效利用，城乡建设有序开发，提升社会综合发展效益。</w:t>
      </w:r>
    </w:p>
    <w:p>
      <w:pPr>
        <w:widowControl/>
        <w:adjustRightInd w:val="0"/>
        <w:snapToGrid w:val="0"/>
        <w:spacing w:line="580" w:lineRule="exact"/>
        <w:ind w:firstLine="643" w:firstLineChars="200"/>
        <w:contextualSpacing/>
        <w:jc w:val="left"/>
        <w:rPr>
          <w:rFonts w:ascii="楷体" w:hAnsi="楷体" w:eastAsia="楷体" w:cs="Times New Roman"/>
          <w:b/>
          <w:sz w:val="32"/>
          <w:szCs w:val="32"/>
        </w:rPr>
      </w:pPr>
      <w:r>
        <w:rPr>
          <w:rFonts w:hint="eastAsia" w:ascii="楷体" w:hAnsi="楷体" w:eastAsia="楷体" w:cs="Times New Roman"/>
          <w:b/>
          <w:sz w:val="32"/>
          <w:szCs w:val="32"/>
        </w:rPr>
        <w:t>（2）部门职能完成情况。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b/>
          <w:sz w:val="32"/>
          <w:szCs w:val="32"/>
        </w:rPr>
        <w:t>1.</w:t>
      </w:r>
      <w:r>
        <w:rPr>
          <w:rFonts w:ascii="Times New Roman" w:hAnsi="Times New Roman" w:eastAsia="方正仿宋简体" w:cs="Times New Roman"/>
          <w:b/>
          <w:sz w:val="32"/>
          <w:szCs w:val="32"/>
        </w:rPr>
        <w:t>创新城市管理机制。</w:t>
      </w:r>
      <w:r>
        <w:rPr>
          <w:rFonts w:hint="eastAsia" w:ascii="仿宋" w:hAnsi="仿宋" w:eastAsia="仿宋" w:cs="Times New Roman"/>
          <w:kern w:val="0"/>
          <w:sz w:val="32"/>
          <w:szCs w:val="32"/>
        </w:rPr>
        <w:t>一是成立了</w:t>
      </w:r>
      <w:r>
        <w:rPr>
          <w:rFonts w:hint="eastAsia" w:ascii="仿宋" w:hAnsi="仿宋" w:eastAsia="仿宋" w:cs="Times New Roman"/>
          <w:kern w:val="0"/>
          <w:sz w:val="32"/>
          <w:szCs w:val="32"/>
          <w:lang w:eastAsia="zh-CN"/>
        </w:rPr>
        <w:t>以</w:t>
      </w:r>
      <w:r>
        <w:rPr>
          <w:rFonts w:hint="eastAsia" w:ascii="仿宋" w:hAnsi="仿宋" w:eastAsia="仿宋" w:cs="Times New Roman"/>
          <w:kern w:val="0"/>
          <w:sz w:val="32"/>
          <w:szCs w:val="32"/>
        </w:rPr>
        <w:t>市长何平为第一召集人，分管建设、执法的副市长为第二召集人的市城市管理联席会议制度，加强城市问题的综合研判、高位协调、统筹督办。二是进一步下沉城管执法力量，在巴州区江北、回风、宕梁和经开区时新四个街道办事处推广街巷长体系，大街有街长，小巷有巷长，覆盖街巷115条，建立“街乡吹哨、部门报到”机制，为基层提供精准化、精细化的服务，打通城市治理“最后一公里”。三是大力探索城管“党建+”，直属分局党总支、经开区分局党总支积极探索城管党建+，先后推出“城管社区工作室”、“城管基层治理工作室”、“城管社区共管站”，动员街道、社区、企业中的党组织和党员带头参与城市治理。</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 w:hAnsi="仿宋" w:eastAsia="仿宋" w:cs="Times New Roman"/>
          <w:kern w:val="0"/>
          <w:sz w:val="32"/>
          <w:szCs w:val="32"/>
        </w:rPr>
      </w:pPr>
      <w:r>
        <w:rPr>
          <w:rFonts w:hint="eastAsia" w:ascii="Times New Roman" w:hAnsi="Times New Roman" w:eastAsia="方正仿宋简体" w:cs="Times New Roman"/>
          <w:b/>
          <w:sz w:val="32"/>
          <w:szCs w:val="32"/>
        </w:rPr>
        <w:t>2.</w:t>
      </w:r>
      <w:r>
        <w:rPr>
          <w:rFonts w:ascii="Times New Roman" w:hAnsi="Times New Roman" w:eastAsia="方正仿宋简体" w:cs="Times New Roman"/>
          <w:b/>
          <w:sz w:val="32"/>
          <w:szCs w:val="32"/>
        </w:rPr>
        <w:t>改进城市管理方式。</w:t>
      </w:r>
      <w:r>
        <w:rPr>
          <w:rFonts w:hint="eastAsia" w:ascii="仿宋" w:hAnsi="仿宋" w:eastAsia="仿宋" w:cs="Times New Roman"/>
          <w:kern w:val="0"/>
          <w:sz w:val="32"/>
          <w:szCs w:val="32"/>
        </w:rPr>
        <w:t>一是强化用情报和数据来主导管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rPr>
        <w:t>理工作，完成市级数字城管向智慧城管转型升级，督促县区依托市级数字城管软件建成本级数字城管平台，实现省、市、县数字城管数据互联互通。二是推行“潮汐式”摊区、夜市“十统一”管理，设置小百货一条街、美食一条街，解决零就业家庭、下岗工人就业1900人。三是积极优化营商环境，提高店招店牌设置管理、占道审批效率，探索制定老旧小区治漏可行性办法，深化为民服务解难题。</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Times New Roman" w:hAnsi="Times New Roman" w:eastAsia="方正仿宋简体" w:cs="Times New Roman"/>
          <w:sz w:val="32"/>
          <w:szCs w:val="32"/>
        </w:rPr>
      </w:pPr>
      <w:r>
        <w:rPr>
          <w:rFonts w:hint="eastAsia" w:ascii="Times New Roman" w:hAnsi="Times New Roman" w:eastAsia="方正仿宋简体" w:cs="Times New Roman"/>
          <w:b/>
          <w:sz w:val="32"/>
          <w:szCs w:val="32"/>
        </w:rPr>
        <w:t>3.</w:t>
      </w:r>
      <w:r>
        <w:rPr>
          <w:rFonts w:ascii="Times New Roman" w:hAnsi="Times New Roman" w:eastAsia="方正仿宋简体" w:cs="Times New Roman"/>
          <w:b/>
          <w:sz w:val="32"/>
          <w:szCs w:val="32"/>
        </w:rPr>
        <w:t>提升城市执法效能。</w:t>
      </w:r>
      <w:r>
        <w:rPr>
          <w:rFonts w:hint="eastAsia" w:ascii="仿宋" w:hAnsi="仿宋" w:eastAsia="仿宋" w:cs="Times New Roman"/>
          <w:kern w:val="0"/>
          <w:sz w:val="32"/>
          <w:szCs w:val="32"/>
        </w:rPr>
        <w:t>一是大力落实行政执法“三项制度”，配备5G执法记录仪52台，举行案审会5次，提升执法规范化水平。二是严格执法，深化“两拆一增”和“三违”整治，拆除妨碍公共空间展开的围墙7400米，增加绿化面积1.4万平方米，拆除违法建设12.3万平方米，强力查处招投标、大气污染相关案件27件，提高行政处罚权履行面。</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 w:hAnsi="仿宋" w:eastAsia="仿宋" w:cs="Times New Roman"/>
          <w:kern w:val="0"/>
          <w:sz w:val="32"/>
          <w:szCs w:val="32"/>
        </w:rPr>
      </w:pPr>
      <w:r>
        <w:rPr>
          <w:rFonts w:hint="eastAsia" w:ascii="Times New Roman" w:hAnsi="Times New Roman" w:eastAsia="方正仿宋简体" w:cs="Times New Roman"/>
          <w:b/>
          <w:sz w:val="32"/>
          <w:szCs w:val="32"/>
        </w:rPr>
        <w:t>4.</w:t>
      </w:r>
      <w:r>
        <w:rPr>
          <w:rFonts w:ascii="Times New Roman" w:hAnsi="Times New Roman" w:eastAsia="方正仿宋简体" w:cs="Times New Roman"/>
          <w:b/>
          <w:sz w:val="32"/>
          <w:szCs w:val="32"/>
        </w:rPr>
        <w:t>加强城管队伍建设。</w:t>
      </w:r>
      <w:r>
        <w:rPr>
          <w:rFonts w:hint="eastAsia" w:ascii="仿宋" w:hAnsi="仿宋" w:eastAsia="仿宋" w:cs="Times New Roman"/>
          <w:kern w:val="0"/>
          <w:sz w:val="32"/>
          <w:szCs w:val="32"/>
        </w:rPr>
        <w:t>一是探索城管党建+，设立城管社区工作室、城管小区基层治理室、城管女子解语室、城管共管站和居民议事厅，每周三固定为“城管开放日”，构建“城管主导、群众主体、物业参与、部门联动、多元化解”机制，最大程度通过依靠群众实现为了群众，累计解决群众诉求67件，办结率95.5%，受到省直机关工委的高度评价。二是采取分层分专题学习，组织办公室人员能力提升班、执法办案人员能力培训班、党务工作人员培训班、协助执法人员能力提升班等4个专题培训班，累计集中学习45场次，培训人员800人次。三是强化作风纪律建设，局党组专题研究党风廉政建设和反腐败工作两次，落实纪检委员轮流值周巡察制度，20名纪检委轮流值周巡察，印发《专项通报》41期，督促整改问题185个。</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Times New Roman" w:hAnsi="Times New Roman" w:eastAsia="方正仿宋简体" w:cs="Times New Roman"/>
          <w:sz w:val="32"/>
          <w:szCs w:val="32"/>
        </w:rPr>
      </w:pPr>
      <w:r>
        <w:rPr>
          <w:rFonts w:hint="eastAsia" w:ascii="楷体" w:hAnsi="楷体" w:eastAsia="楷体" w:cs="Times New Roman"/>
          <w:b/>
          <w:sz w:val="32"/>
          <w:szCs w:val="32"/>
          <w:lang w:eastAsia="zh-CN"/>
        </w:rPr>
        <w:t>（</w:t>
      </w:r>
      <w:r>
        <w:rPr>
          <w:rFonts w:hint="eastAsia" w:ascii="楷体" w:hAnsi="楷体" w:eastAsia="楷体" w:cs="Times New Roman"/>
          <w:b/>
          <w:sz w:val="32"/>
          <w:szCs w:val="32"/>
        </w:rPr>
        <w:t>一</w:t>
      </w:r>
      <w:r>
        <w:rPr>
          <w:rFonts w:hint="eastAsia" w:ascii="楷体" w:hAnsi="楷体" w:eastAsia="楷体" w:cs="Times New Roman"/>
          <w:b/>
          <w:sz w:val="32"/>
          <w:szCs w:val="32"/>
          <w:lang w:eastAsia="zh-CN"/>
        </w:rPr>
        <w:t>）</w:t>
      </w:r>
      <w:r>
        <w:rPr>
          <w:rFonts w:hint="eastAsia" w:ascii="楷体" w:hAnsi="楷体" w:eastAsia="楷体" w:cs="Times New Roman"/>
          <w:b/>
          <w:sz w:val="32"/>
          <w:szCs w:val="32"/>
        </w:rPr>
        <w:t>评价结论。</w:t>
      </w:r>
      <w:r>
        <w:rPr>
          <w:rFonts w:hint="eastAsia" w:ascii="仿宋" w:hAnsi="仿宋" w:eastAsia="仿宋" w:cs="Times New Roman"/>
          <w:kern w:val="0"/>
          <w:sz w:val="32"/>
          <w:szCs w:val="32"/>
        </w:rPr>
        <w:t>根据</w:t>
      </w:r>
      <w:r>
        <w:rPr>
          <w:rFonts w:hint="eastAsia" w:ascii="仿宋" w:hAnsi="仿宋" w:eastAsia="仿宋" w:cs="Times New Roman"/>
          <w:kern w:val="0"/>
          <w:sz w:val="32"/>
          <w:szCs w:val="32"/>
          <w:lang w:eastAsia="zh-CN"/>
        </w:rPr>
        <w:t>市委、市政府</w:t>
      </w:r>
      <w:r>
        <w:rPr>
          <w:rFonts w:hint="eastAsia" w:ascii="仿宋" w:hAnsi="仿宋" w:eastAsia="仿宋" w:cs="Times New Roman"/>
          <w:kern w:val="0"/>
          <w:sz w:val="32"/>
          <w:szCs w:val="32"/>
        </w:rPr>
        <w:t>的工作部署和安排，2020年我局较好地</w:t>
      </w:r>
      <w:r>
        <w:rPr>
          <w:rFonts w:hint="eastAsia" w:ascii="仿宋" w:hAnsi="仿宋" w:eastAsia="仿宋" w:cs="Times New Roman"/>
          <w:kern w:val="0"/>
          <w:sz w:val="32"/>
          <w:szCs w:val="32"/>
          <w:lang w:eastAsia="zh-CN"/>
        </w:rPr>
        <w:t>完成</w:t>
      </w:r>
      <w:r>
        <w:rPr>
          <w:rFonts w:hint="eastAsia" w:ascii="仿宋" w:hAnsi="仿宋" w:eastAsia="仿宋" w:cs="Times New Roman"/>
          <w:kern w:val="0"/>
          <w:sz w:val="32"/>
          <w:szCs w:val="32"/>
        </w:rPr>
        <w:t>各项城市管理工作任务，重点工作任务完成情况良好，达到了预期的绩效目标</w:t>
      </w:r>
      <w:r>
        <w:rPr>
          <w:rFonts w:hint="eastAsia"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 w:hAnsi="仿宋" w:eastAsia="仿宋" w:cs="Times New Roman"/>
          <w:kern w:val="0"/>
          <w:sz w:val="32"/>
          <w:szCs w:val="32"/>
        </w:rPr>
      </w:pPr>
      <w:r>
        <w:rPr>
          <w:rFonts w:hint="eastAsia" w:ascii="楷体" w:hAnsi="楷体" w:eastAsia="楷体" w:cs="Times New Roman"/>
          <w:b/>
          <w:sz w:val="32"/>
          <w:szCs w:val="32"/>
          <w:lang w:eastAsia="zh-CN"/>
        </w:rPr>
        <w:t>（</w:t>
      </w:r>
      <w:r>
        <w:rPr>
          <w:rFonts w:hint="eastAsia" w:ascii="楷体" w:hAnsi="楷体" w:eastAsia="楷体" w:cs="Times New Roman"/>
          <w:b/>
          <w:sz w:val="32"/>
          <w:szCs w:val="32"/>
        </w:rPr>
        <w:t>二</w:t>
      </w:r>
      <w:r>
        <w:rPr>
          <w:rFonts w:hint="eastAsia" w:ascii="楷体" w:hAnsi="楷体" w:eastAsia="楷体" w:cs="Times New Roman"/>
          <w:b/>
          <w:sz w:val="32"/>
          <w:szCs w:val="32"/>
          <w:lang w:eastAsia="zh-CN"/>
        </w:rPr>
        <w:t>）</w:t>
      </w:r>
      <w:r>
        <w:rPr>
          <w:rFonts w:hint="eastAsia" w:ascii="楷体" w:hAnsi="楷体" w:eastAsia="楷体" w:cs="Times New Roman"/>
          <w:b/>
          <w:sz w:val="32"/>
          <w:szCs w:val="32"/>
        </w:rPr>
        <w:t>存在问题。</w:t>
      </w:r>
      <w:r>
        <w:rPr>
          <w:rFonts w:hint="eastAsia" w:ascii="仿宋" w:hAnsi="仿宋" w:eastAsia="仿宋" w:cs="Times New Roman"/>
          <w:kern w:val="0"/>
          <w:sz w:val="32"/>
          <w:szCs w:val="32"/>
        </w:rPr>
        <w:t>一是年初预算安排不足，难以满足实际需求。如我局拆除经费2020年年初预算200万元，调整增加150万元（实际到位350万元），实际支出数为471余万元，截至目前缺口121万余元，且该项目经费纳入一般公共预算非税收入中安排，只有在非税收入实现的情况下才能拨付资金，资金拨付进度较慢；购买服务经费、协助执法人员经费年初纳入基金预算，资金拨付进度缓慢。二是执法装备不足且老化严重，特别是下属单位执法车辆严重短缺，随着城市规模的扩大，执法范围扩大，但我局目前仅有14辆执法用车，无法满足执法业务需求。</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 w:hAnsi="仿宋" w:eastAsia="仿宋" w:cs="Times New Roman"/>
          <w:kern w:val="0"/>
          <w:sz w:val="32"/>
          <w:szCs w:val="32"/>
        </w:rPr>
      </w:pPr>
      <w:r>
        <w:rPr>
          <w:rFonts w:hint="eastAsia" w:ascii="楷体" w:hAnsi="楷体" w:eastAsia="楷体" w:cs="Times New Roman"/>
          <w:b/>
          <w:sz w:val="32"/>
          <w:szCs w:val="32"/>
          <w:lang w:eastAsia="zh-CN"/>
        </w:rPr>
        <w:t>（</w:t>
      </w:r>
      <w:r>
        <w:rPr>
          <w:rFonts w:hint="eastAsia" w:ascii="楷体" w:hAnsi="楷体" w:eastAsia="楷体" w:cs="Times New Roman"/>
          <w:b/>
          <w:sz w:val="32"/>
          <w:szCs w:val="32"/>
        </w:rPr>
        <w:t>三</w:t>
      </w:r>
      <w:r>
        <w:rPr>
          <w:rFonts w:hint="eastAsia" w:ascii="楷体" w:hAnsi="楷体" w:eastAsia="楷体" w:cs="Times New Roman"/>
          <w:b/>
          <w:sz w:val="32"/>
          <w:szCs w:val="32"/>
          <w:lang w:eastAsia="zh-CN"/>
        </w:rPr>
        <w:t>）</w:t>
      </w:r>
      <w:r>
        <w:rPr>
          <w:rFonts w:hint="eastAsia" w:ascii="楷体" w:hAnsi="楷体" w:eastAsia="楷体" w:cs="Times New Roman"/>
          <w:b/>
          <w:sz w:val="32"/>
          <w:szCs w:val="32"/>
        </w:rPr>
        <w:t>改进建议。</w:t>
      </w:r>
      <w:r>
        <w:rPr>
          <w:rFonts w:hint="eastAsia" w:ascii="仿宋" w:hAnsi="仿宋" w:eastAsia="仿宋" w:cs="Times New Roman"/>
          <w:kern w:val="0"/>
          <w:sz w:val="32"/>
          <w:szCs w:val="32"/>
        </w:rPr>
        <w:t>一是年初足额安排拆除、购买服务、协助执法人员等经费，且及时拨付资金 。二是强化对执法装备的经费投入，更换老旧执法车辆，按照城市规模和人口增加执法车辆编制及数量，或通过市场租赁等方式解决执法车辆不足的问题。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hint="eastAsia"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巴中市城市管理行政执法局</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城市管理购买社会服务项目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（一）项目基本情况。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我局城市管理购买社会服务经费支出项目，是在借鉴外地经验的基础上，在全省率先开展城市管理市场化试点，分别于2013年3月－2015年3月，对信合大厦至江北盛华堂片区和龙泉街至火车站等区域的城市管理进行了2年的先期试点，通过询价选择了试点单位并签订了试点劳务合同，试点效果显著。试点期满后，2019年5月进行公开招标，中标金额为412.88万元/年。按照“试点探索、先行先试、总结经验、全面推广”的思路，采取“政府主导、市场运作、社会参与”的模式，把市容市貌管理服务工作委托给符合资格资质条件的服务公司，由服务公司聘用的文明劝导服务人员，按照市容管理标准和城管部门的要求进行城市管理。2015年9月通过公开招标方式将盛华堂至大佛寺桥头标段及信合大厦至中杨大桥标段纳入城市管理购买服务项目进行政府集中采购，最终确定成都高洁环境卫生服务有限公司、巴中市彬鹏环境治理有限公司分别为盛华堂至大佛寺桥头标段及信合大厦至中杨大桥标段中标公司，中标金额分别为204.83万元/年、156.897万元/年，合同期限为3年，期满后据原合同约定，并经局党组会议研究决定续签，合同金额合计为397.85万元/年。</w:t>
      </w:r>
    </w:p>
    <w:p>
      <w:pPr>
        <w:adjustRightInd w:val="0"/>
        <w:snapToGrid w:val="0"/>
        <w:spacing w:line="580" w:lineRule="exact"/>
        <w:ind w:firstLine="800" w:firstLineChars="250"/>
        <w:rPr>
          <w:rFonts w:ascii="Times New Roman" w:hAnsi="Times New Roman" w:eastAsia="方正仿宋简体"/>
          <w:sz w:val="32"/>
          <w:szCs w:val="32"/>
        </w:rPr>
      </w:pPr>
      <w:r>
        <w:rPr>
          <w:rFonts w:hint="eastAsia" w:ascii="仿宋_GB2312" w:hAnsi="宋体" w:eastAsia="仿宋_GB2312"/>
          <w:sz w:val="32"/>
          <w:szCs w:val="32"/>
          <w:lang w:val="zh-CN"/>
        </w:rPr>
        <w:t>上述两项合计为810.73万元/年。</w:t>
      </w:r>
    </w:p>
    <w:p>
      <w:pPr>
        <w:adjustRightInd w:val="0"/>
        <w:snapToGrid w:val="0"/>
        <w:spacing w:line="600"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（二）项目绩效目标。</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该项目主要是通过市场化运作开展城市管理服务，达到城市规范、畅通、有序、文明、整洁的目标。服务公司通过安排工作人员采取三班倒无缝对接巡查管控，聘用文明劝导服务人员，按照市容管理标准和城管部门的要求，落实文明、亲民、服务理念，开展宣传文明城市创建、制止流动摊点和出店经营、劝导占道作业和乱停乱放、捡拾白色垃圾等文明劝导服务活动，将以前由执法人员的强制执法转化为服务公司的服务劝导。通过这种柔性服务、文明劝导的方式得到了市民的认可和接纳，让城市更加规范、畅通、有序、文明、整洁，也有效解决了在城市管理工作中执法力量不足、管理矛盾突出、执法纠纷频发等问题。同时激发了社会组建专业管理公司，鼓励物业管理企业参与城市管理业务。</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600"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二、项目资金申报及使用情况</w:t>
      </w:r>
    </w:p>
    <w:p>
      <w:pPr>
        <w:adjustRightInd w:val="0"/>
        <w:snapToGrid w:val="0"/>
        <w:spacing w:line="600"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（一）资金计划、到位及使用情况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1.资金计划及到位情况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按照预算管理的要求，我单位于年初对城市管理购买服务两项支出进行了预算申报。申报资金为810万元，上年结转资金627万元，共计1437万元。预算下达后，2020年通过财政大平台支出本年购买服务经费927万元，结转下年度使用510万元。</w:t>
      </w:r>
    </w:p>
    <w:p>
      <w:pPr>
        <w:adjustRightInd w:val="0"/>
        <w:snapToGrid w:val="0"/>
        <w:spacing w:line="600"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2.资金使用</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2020年度城市管理购买服务实际应支付810万元，2020年实现支付927万元（其中本年支出333.31万元，上年支出593.69万元），2021年支付490.93万元（其中2020年476.69万元，其他年度年支出14.24万元）。该项目资金的支付严格按照资金开支范围、预算管理的要求执行。本年预算结转510万元，主要原因是该笔资金在年终决算财政停止支付后拨付到位，无法及时支付，该项经费已于2021年在购买服务结转经费中支付。</w:t>
      </w:r>
    </w:p>
    <w:p>
      <w:pPr>
        <w:adjustRightInd w:val="0"/>
        <w:snapToGrid w:val="0"/>
        <w:spacing w:line="600"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（二）项目财务管理情况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为了加强对服务公司的管理考核及规范资金管理，达到项目绩效目标，一是在制度建设上，我局制定了《巴中市政府购买城市管理服务工作实施方案》、《巴中市城区政府购买城市管理服务考核办法（试行）》、《巴中市城区政府购买城市管理服务考核细则（试行）》，并严格执行；二是在严格考核上，成立了城市管理购买服务考核小组，按照考核办法及考评细则的规定，坚持公平、公正考核，保证购买工作取得成效；三是在会计核算上，对项目资金进行了单独核算并及时、规范地进行了财务处理，做到了会计信息真实、完整。</w:t>
      </w:r>
    </w:p>
    <w:p>
      <w:pPr>
        <w:adjustRightInd w:val="0"/>
        <w:snapToGrid w:val="0"/>
        <w:spacing w:line="600"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（三）项目组织实施情况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1.采购招标。</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该项目严格按照政府采购、招投标相关规定执行，报财政采购审核备案，通过市公共资源交易和服务中心和采购中介代理机构公开招标确定的中标供应商。</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2.考核管理。</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按照采购合同的约定，由城市管理购买服务考核小组负责对服务公司城市管理购买服务的情况进行考核，考核小组按照考评细则采取日常巡查、不定期抽查、综合考核相结合的方式组织考核，每月对购买服务区域抽查不得少于3次，综合考核1次。考核合格后并经考核验收小组签字确认后，再按照财务管理相关规定的程序办理资金支付。2020年市委对该项目进行巡察后，我局就该项目考核进行了再次确认，让社区参与考核，提升辖区居民满意率。</w:t>
      </w:r>
    </w:p>
    <w:p>
      <w:pPr>
        <w:adjustRightInd w:val="0"/>
        <w:snapToGrid w:val="0"/>
        <w:spacing w:line="600"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三、目标完成情况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b/>
          <w:bCs/>
          <w:sz w:val="32"/>
          <w:szCs w:val="32"/>
          <w:lang w:val="zh-CN"/>
        </w:rPr>
        <w:t>（一）目标任务量完成情况</w:t>
      </w:r>
      <w:r>
        <w:rPr>
          <w:rFonts w:hint="eastAsia" w:ascii="仿宋_GB2312" w:hAnsi="宋体" w:eastAsia="仿宋_GB2312"/>
          <w:sz w:val="32"/>
          <w:szCs w:val="32"/>
          <w:lang w:val="zh-CN"/>
        </w:rPr>
        <w:t>。按照我单位考核、管理、培训等要求，按时、按质完成盛华堂至大佛寺桥头段、信合大厦至中杨大桥段、信合大厦至江北盛华堂片区和龙泉街至火车站段城市管理工作。</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b/>
          <w:bCs/>
          <w:sz w:val="32"/>
          <w:szCs w:val="32"/>
          <w:lang w:val="zh-CN"/>
        </w:rPr>
        <w:t>（二）目标质量完成情况。</w:t>
      </w:r>
      <w:r>
        <w:rPr>
          <w:rFonts w:hint="eastAsia" w:ascii="仿宋_GB2312" w:hAnsi="宋体" w:eastAsia="仿宋_GB2312"/>
          <w:sz w:val="32"/>
          <w:szCs w:val="32"/>
          <w:lang w:val="zh-CN"/>
        </w:rPr>
        <w:t>我单位每月对城市管理购买服务情况的考核，得分均在95分以上，达到了城市管理购买服务质量要求。</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b/>
          <w:bCs/>
          <w:sz w:val="32"/>
          <w:szCs w:val="32"/>
          <w:lang w:val="zh-CN"/>
        </w:rPr>
        <w:t>（三）目标进度完成情况。</w:t>
      </w:r>
      <w:r>
        <w:rPr>
          <w:rFonts w:hint="eastAsia" w:ascii="仿宋_GB2312" w:hAnsi="宋体" w:eastAsia="仿宋_GB2312"/>
          <w:sz w:val="32"/>
          <w:szCs w:val="32"/>
          <w:lang w:val="zh-CN"/>
        </w:rPr>
        <w:t>每月由考核小组采取日常巡查、不定期抽查、综合考核相结合的方式组织考核，对本月购买服务进行考核验收，考核合格后拨付进度款项。</w:t>
      </w:r>
    </w:p>
    <w:p>
      <w:pPr>
        <w:adjustRightInd w:val="0"/>
        <w:snapToGrid w:val="0"/>
        <w:spacing w:line="600"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四、项目效益情况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b/>
          <w:bCs/>
          <w:sz w:val="32"/>
          <w:szCs w:val="32"/>
          <w:lang w:val="zh-CN"/>
        </w:rPr>
        <w:t>（一）经济效益</w:t>
      </w:r>
      <w:r>
        <w:rPr>
          <w:rFonts w:hint="eastAsia" w:ascii="仿宋_GB2312" w:hAnsi="宋体" w:eastAsia="仿宋_GB2312"/>
          <w:sz w:val="32"/>
          <w:szCs w:val="32"/>
          <w:lang w:val="zh-CN"/>
        </w:rPr>
        <w:t>：通过城市管理社会购买服务对城市秩序进行劝导，对违法建设进行有效控制，对城市管理各种违法、违规行为进行整治，为经济发展创造有利的投资环境。</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b/>
          <w:bCs/>
          <w:sz w:val="32"/>
          <w:szCs w:val="32"/>
          <w:lang w:val="zh-CN"/>
        </w:rPr>
        <w:t>（二）社会效益</w:t>
      </w:r>
      <w:r>
        <w:rPr>
          <w:rFonts w:hint="eastAsia" w:ascii="仿宋_GB2312" w:hAnsi="宋体" w:eastAsia="仿宋_GB2312"/>
          <w:sz w:val="32"/>
          <w:szCs w:val="32"/>
          <w:lang w:val="zh-CN"/>
        </w:rPr>
        <w:t>：加强了对城市管理的各种乱象的治理力度，创造干净、有序的城市环境，是满足城市居民的迫切需要。</w:t>
      </w:r>
    </w:p>
    <w:p>
      <w:pPr>
        <w:adjustRightInd w:val="0"/>
        <w:snapToGrid w:val="0"/>
        <w:spacing w:line="600" w:lineRule="exact"/>
        <w:ind w:firstLine="720"/>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五、问题及建议</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我局城市管理社会购买服务支出项目在年初预算时，纳入政府性基金安排，该项支出是在政府性基金收入实现的情况下，才能拨付到单位，无法按月拨付。由于我局城市管理社会购买服务经费90%以上用于支付服务公司人员工资，为确保人员工资按月支付，维护信访稳定，建议及时拨付该项目资金。</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15"/>
          <w:rFonts w:ascii="黑体" w:hAnsi="黑体" w:eastAsia="黑体"/>
          <w:b w:val="0"/>
        </w:rPr>
      </w:pPr>
    </w:p>
    <w:p>
      <w:pPr>
        <w:widowControl/>
        <w:jc w:val="left"/>
        <w:rPr>
          <w:rStyle w:val="15"/>
          <w:rFonts w:ascii="黑体" w:hAnsi="黑体" w:eastAsia="黑体"/>
          <w:b w:val="0"/>
        </w:rPr>
      </w:pPr>
      <w:r>
        <w:rPr>
          <w:rStyle w:val="15"/>
          <w:rFonts w:ascii="黑体" w:hAnsi="黑体" w:eastAsia="黑体"/>
          <w:b w:val="0"/>
        </w:rPr>
        <w:br w:type="page"/>
      </w:r>
    </w:p>
    <w:p>
      <w:pPr>
        <w:spacing w:line="600" w:lineRule="exact"/>
        <w:jc w:val="center"/>
        <w:outlineLvl w:val="0"/>
        <w:rPr>
          <w:rStyle w:val="15"/>
          <w:rFonts w:ascii="黑体" w:hAnsi="黑体" w:eastAsia="黑体"/>
          <w:b w:val="0"/>
        </w:rPr>
      </w:pPr>
    </w:p>
    <w:p>
      <w:pPr>
        <w:spacing w:line="600" w:lineRule="exact"/>
        <w:jc w:val="center"/>
        <w:outlineLvl w:val="0"/>
        <w:rPr>
          <w:rStyle w:val="15"/>
          <w:rFonts w:ascii="黑体" w:hAnsi="黑体" w:eastAsia="黑体"/>
          <w:b w:val="0"/>
        </w:rPr>
      </w:pPr>
      <w:bookmarkStart w:id="91" w:name="_Toc15396618"/>
      <w:bookmarkStart w:id="92" w:name="_Toc9714"/>
      <w:r>
        <w:rPr>
          <w:rFonts w:hint="eastAsia" w:ascii="黑体" w:hAnsi="黑体" w:eastAsia="黑体"/>
          <w:color w:val="000000"/>
          <w:sz w:val="44"/>
          <w:szCs w:val="44"/>
        </w:rPr>
        <w:t>第</w:t>
      </w:r>
      <w:r>
        <w:rPr>
          <w:rStyle w:val="15"/>
          <w:rFonts w:hint="eastAsia" w:ascii="黑体" w:hAnsi="黑体" w:eastAsia="黑体"/>
          <w:b w:val="0"/>
        </w:rPr>
        <w:t>五部分</w:t>
      </w:r>
      <w:r>
        <w:rPr>
          <w:rStyle w:val="15"/>
          <w:rFonts w:ascii="黑体" w:hAnsi="黑体" w:eastAsia="黑体"/>
          <w:b w:val="0"/>
        </w:rPr>
        <w:t xml:space="preserve"> </w:t>
      </w:r>
      <w:r>
        <w:rPr>
          <w:rStyle w:val="15"/>
          <w:rFonts w:hint="eastAsia" w:ascii="黑体" w:hAnsi="黑体" w:eastAsia="黑体"/>
          <w:b w:val="0"/>
        </w:rPr>
        <w:t>附表</w:t>
      </w:r>
      <w:bookmarkEnd w:id="88"/>
      <w:bookmarkEnd w:id="91"/>
      <w:bookmarkEnd w:id="9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93" w:name="_Toc15396619"/>
      <w:bookmarkStart w:id="94" w:name="_Toc6423"/>
      <w:r>
        <w:rPr>
          <w:rFonts w:hint="eastAsia" w:ascii="仿宋" w:hAnsi="仿宋" w:eastAsia="仿宋"/>
          <w:b w:val="0"/>
          <w:color w:val="000000"/>
        </w:rPr>
        <w:t>一、收</w:t>
      </w:r>
      <w:r>
        <w:rPr>
          <w:rStyle w:val="16"/>
          <w:rFonts w:hint="eastAsia" w:ascii="仿宋" w:hAnsi="仿宋" w:eastAsia="仿宋"/>
          <w:b w:val="0"/>
          <w:bCs w:val="0"/>
        </w:rPr>
        <w:t>入支出决算总表</w:t>
      </w:r>
      <w:bookmarkEnd w:id="93"/>
      <w:bookmarkEnd w:id="94"/>
    </w:p>
    <w:p>
      <w:pPr>
        <w:pStyle w:val="3"/>
        <w:rPr>
          <w:rFonts w:ascii="仿宋" w:hAnsi="仿宋" w:eastAsia="仿宋"/>
          <w:color w:val="000000"/>
        </w:rPr>
      </w:pPr>
      <w:bookmarkStart w:id="95" w:name="_Toc15396620"/>
      <w:bookmarkStart w:id="96" w:name="_Toc22572"/>
      <w:r>
        <w:rPr>
          <w:rFonts w:hint="eastAsia" w:ascii="仿宋" w:hAnsi="仿宋" w:eastAsia="仿宋"/>
          <w:b w:val="0"/>
          <w:color w:val="000000"/>
        </w:rPr>
        <w:t>二、收</w:t>
      </w:r>
      <w:r>
        <w:rPr>
          <w:rStyle w:val="16"/>
          <w:rFonts w:hint="eastAsia" w:ascii="仿宋" w:hAnsi="仿宋" w:eastAsia="仿宋"/>
          <w:b w:val="0"/>
          <w:bCs w:val="0"/>
        </w:rPr>
        <w:t>入决算表</w:t>
      </w:r>
      <w:bookmarkEnd w:id="95"/>
      <w:bookmarkEnd w:id="96"/>
    </w:p>
    <w:p>
      <w:pPr>
        <w:pStyle w:val="3"/>
        <w:rPr>
          <w:rFonts w:ascii="仿宋" w:hAnsi="仿宋" w:eastAsia="仿宋"/>
          <w:color w:val="000000"/>
        </w:rPr>
      </w:pPr>
      <w:bookmarkStart w:id="97" w:name="_Toc15396621"/>
      <w:bookmarkStart w:id="98" w:name="_Toc26313"/>
      <w:r>
        <w:rPr>
          <w:rStyle w:val="16"/>
          <w:rFonts w:hint="eastAsia" w:ascii="仿宋" w:hAnsi="仿宋" w:eastAsia="仿宋"/>
          <w:b w:val="0"/>
          <w:bCs w:val="0"/>
        </w:rPr>
        <w:t>三、</w:t>
      </w:r>
      <w:r>
        <w:rPr>
          <w:rFonts w:hint="eastAsia" w:ascii="仿宋" w:hAnsi="仿宋" w:eastAsia="仿宋"/>
          <w:b w:val="0"/>
          <w:color w:val="000000"/>
        </w:rPr>
        <w:t>支</w:t>
      </w:r>
      <w:r>
        <w:rPr>
          <w:rStyle w:val="16"/>
          <w:rFonts w:hint="eastAsia" w:ascii="仿宋" w:hAnsi="仿宋" w:eastAsia="仿宋"/>
          <w:b w:val="0"/>
          <w:bCs w:val="0"/>
        </w:rPr>
        <w:t>出决算表</w:t>
      </w:r>
      <w:bookmarkEnd w:id="97"/>
      <w:bookmarkEnd w:id="98"/>
    </w:p>
    <w:p>
      <w:pPr>
        <w:pStyle w:val="3"/>
        <w:rPr>
          <w:rFonts w:ascii="仿宋" w:hAnsi="仿宋" w:eastAsia="仿宋"/>
          <w:b w:val="0"/>
          <w:color w:val="000000"/>
        </w:rPr>
      </w:pPr>
      <w:bookmarkStart w:id="99" w:name="_Toc15396622"/>
      <w:bookmarkStart w:id="100" w:name="_Toc22286"/>
      <w:r>
        <w:rPr>
          <w:rStyle w:val="16"/>
          <w:rFonts w:hint="eastAsia" w:ascii="仿宋" w:hAnsi="仿宋" w:eastAsia="仿宋"/>
          <w:b w:val="0"/>
          <w:bCs w:val="0"/>
        </w:rPr>
        <w:t>四、</w:t>
      </w:r>
      <w:r>
        <w:rPr>
          <w:rFonts w:hint="eastAsia" w:ascii="仿宋" w:hAnsi="仿宋" w:eastAsia="仿宋"/>
          <w:b w:val="0"/>
          <w:color w:val="000000"/>
        </w:rPr>
        <w:t>财</w:t>
      </w:r>
      <w:r>
        <w:rPr>
          <w:rStyle w:val="16"/>
          <w:rFonts w:hint="eastAsia" w:ascii="仿宋" w:hAnsi="仿宋" w:eastAsia="仿宋"/>
          <w:b w:val="0"/>
          <w:bCs w:val="0"/>
        </w:rPr>
        <w:t>政拨款收入支出决算总表</w:t>
      </w:r>
      <w:bookmarkEnd w:id="99"/>
      <w:bookmarkEnd w:id="100"/>
    </w:p>
    <w:p>
      <w:pPr>
        <w:pStyle w:val="3"/>
        <w:rPr>
          <w:rStyle w:val="16"/>
          <w:rFonts w:ascii="仿宋" w:hAnsi="仿宋" w:eastAsia="仿宋"/>
          <w:b w:val="0"/>
          <w:bCs w:val="0"/>
        </w:rPr>
      </w:pPr>
      <w:bookmarkStart w:id="101" w:name="_Toc15396623"/>
      <w:bookmarkStart w:id="102" w:name="_Toc29406"/>
      <w:r>
        <w:rPr>
          <w:rStyle w:val="16"/>
          <w:rFonts w:hint="eastAsia" w:ascii="仿宋" w:hAnsi="仿宋" w:eastAsia="仿宋"/>
          <w:b w:val="0"/>
          <w:bCs w:val="0"/>
        </w:rPr>
        <w:t>五、</w:t>
      </w:r>
      <w:r>
        <w:rPr>
          <w:rFonts w:hint="eastAsia" w:ascii="仿宋" w:hAnsi="仿宋" w:eastAsia="仿宋"/>
          <w:b w:val="0"/>
          <w:color w:val="000000"/>
        </w:rPr>
        <w:t>财</w:t>
      </w:r>
      <w:r>
        <w:rPr>
          <w:rStyle w:val="16"/>
          <w:rFonts w:hint="eastAsia" w:ascii="仿宋" w:hAnsi="仿宋" w:eastAsia="仿宋"/>
          <w:b w:val="0"/>
          <w:bCs w:val="0"/>
        </w:rPr>
        <w:t>政拨款支出决算明细表</w:t>
      </w:r>
      <w:bookmarkEnd w:id="101"/>
      <w:bookmarkEnd w:id="102"/>
      <w:bookmarkStart w:id="103" w:name="_Toc15396624"/>
    </w:p>
    <w:p>
      <w:pPr>
        <w:pStyle w:val="3"/>
        <w:rPr>
          <w:rFonts w:ascii="仿宋" w:hAnsi="仿宋" w:eastAsia="仿宋"/>
          <w:color w:val="000000"/>
        </w:rPr>
      </w:pPr>
      <w:bookmarkStart w:id="104" w:name="_Toc22214"/>
      <w:r>
        <w:rPr>
          <w:rStyle w:val="16"/>
          <w:rFonts w:hint="eastAsia" w:ascii="仿宋" w:hAnsi="仿宋" w:eastAsia="仿宋"/>
          <w:b w:val="0"/>
          <w:bCs w:val="0"/>
        </w:rPr>
        <w:t>六、</w:t>
      </w:r>
      <w:r>
        <w:rPr>
          <w:rFonts w:hint="eastAsia" w:ascii="仿宋" w:hAnsi="仿宋" w:eastAsia="仿宋"/>
          <w:b w:val="0"/>
          <w:color w:val="000000"/>
        </w:rPr>
        <w:t>一</w:t>
      </w:r>
      <w:r>
        <w:rPr>
          <w:rStyle w:val="16"/>
          <w:rFonts w:hint="eastAsia" w:ascii="仿宋" w:hAnsi="仿宋" w:eastAsia="仿宋"/>
          <w:b w:val="0"/>
          <w:bCs w:val="0"/>
        </w:rPr>
        <w:t>般公共预算财政拨款支出决算表</w:t>
      </w:r>
      <w:bookmarkEnd w:id="103"/>
      <w:bookmarkEnd w:id="104"/>
    </w:p>
    <w:p>
      <w:pPr>
        <w:pStyle w:val="3"/>
        <w:rPr>
          <w:rFonts w:ascii="仿宋" w:hAnsi="仿宋" w:eastAsia="仿宋"/>
          <w:color w:val="000000"/>
        </w:rPr>
      </w:pPr>
      <w:bookmarkStart w:id="105" w:name="_Toc15396625"/>
      <w:bookmarkStart w:id="106" w:name="_Toc19832"/>
      <w:r>
        <w:rPr>
          <w:rStyle w:val="16"/>
          <w:rFonts w:hint="eastAsia" w:ascii="仿宋" w:hAnsi="仿宋" w:eastAsia="仿宋"/>
          <w:b w:val="0"/>
          <w:bCs w:val="0"/>
        </w:rPr>
        <w:t>七、</w:t>
      </w:r>
      <w:r>
        <w:rPr>
          <w:rFonts w:hint="eastAsia" w:ascii="仿宋" w:hAnsi="仿宋" w:eastAsia="仿宋"/>
          <w:b w:val="0"/>
          <w:color w:val="000000"/>
        </w:rPr>
        <w:t>一</w:t>
      </w:r>
      <w:r>
        <w:rPr>
          <w:rStyle w:val="16"/>
          <w:rFonts w:hint="eastAsia" w:ascii="仿宋" w:hAnsi="仿宋" w:eastAsia="仿宋"/>
          <w:b w:val="0"/>
          <w:bCs w:val="0"/>
        </w:rPr>
        <w:t>般公共预算财政拨款支出决算明细表</w:t>
      </w:r>
      <w:bookmarkEnd w:id="105"/>
      <w:bookmarkEnd w:id="106"/>
    </w:p>
    <w:p>
      <w:pPr>
        <w:pStyle w:val="3"/>
        <w:rPr>
          <w:rFonts w:ascii="仿宋" w:hAnsi="仿宋" w:eastAsia="仿宋"/>
          <w:color w:val="000000"/>
        </w:rPr>
      </w:pPr>
      <w:bookmarkStart w:id="107" w:name="_Toc26835"/>
      <w:bookmarkStart w:id="108" w:name="_Toc15396626"/>
      <w:r>
        <w:rPr>
          <w:rStyle w:val="16"/>
          <w:rFonts w:hint="eastAsia" w:ascii="仿宋" w:hAnsi="仿宋" w:eastAsia="仿宋"/>
          <w:b w:val="0"/>
          <w:bCs w:val="0"/>
        </w:rPr>
        <w:t>八、</w:t>
      </w:r>
      <w:r>
        <w:rPr>
          <w:rFonts w:hint="eastAsia" w:ascii="仿宋" w:hAnsi="仿宋" w:eastAsia="仿宋"/>
          <w:b w:val="0"/>
          <w:color w:val="000000"/>
        </w:rPr>
        <w:t>一</w:t>
      </w:r>
      <w:r>
        <w:rPr>
          <w:rStyle w:val="16"/>
          <w:rFonts w:hint="eastAsia" w:ascii="仿宋" w:hAnsi="仿宋" w:eastAsia="仿宋"/>
          <w:b w:val="0"/>
          <w:bCs w:val="0"/>
        </w:rPr>
        <w:t>般公共预算财政拨款基本支出决算表</w:t>
      </w:r>
      <w:bookmarkEnd w:id="107"/>
      <w:bookmarkEnd w:id="108"/>
    </w:p>
    <w:p>
      <w:pPr>
        <w:pStyle w:val="3"/>
        <w:rPr>
          <w:rFonts w:ascii="仿宋" w:hAnsi="仿宋" w:eastAsia="仿宋"/>
          <w:color w:val="000000"/>
        </w:rPr>
      </w:pPr>
      <w:bookmarkStart w:id="109" w:name="_Toc9307"/>
      <w:bookmarkStart w:id="110" w:name="_Toc15396627"/>
      <w:r>
        <w:rPr>
          <w:rStyle w:val="16"/>
          <w:rFonts w:hint="eastAsia" w:ascii="仿宋" w:hAnsi="仿宋" w:eastAsia="仿宋"/>
          <w:b w:val="0"/>
          <w:bCs w:val="0"/>
        </w:rPr>
        <w:t>九、</w:t>
      </w:r>
      <w:r>
        <w:rPr>
          <w:rFonts w:hint="eastAsia" w:ascii="仿宋" w:hAnsi="仿宋" w:eastAsia="仿宋"/>
          <w:b w:val="0"/>
          <w:color w:val="000000"/>
        </w:rPr>
        <w:t>一</w:t>
      </w:r>
      <w:r>
        <w:rPr>
          <w:rStyle w:val="16"/>
          <w:rFonts w:hint="eastAsia" w:ascii="仿宋" w:hAnsi="仿宋" w:eastAsia="仿宋"/>
          <w:b w:val="0"/>
          <w:bCs w:val="0"/>
        </w:rPr>
        <w:t>般公共预算财政拨款项目支出决算表</w:t>
      </w:r>
      <w:bookmarkEnd w:id="109"/>
      <w:bookmarkEnd w:id="110"/>
    </w:p>
    <w:p>
      <w:pPr>
        <w:pStyle w:val="3"/>
        <w:rPr>
          <w:rFonts w:ascii="仿宋" w:hAnsi="仿宋" w:eastAsia="仿宋"/>
          <w:color w:val="000000"/>
        </w:rPr>
      </w:pPr>
      <w:bookmarkStart w:id="111" w:name="_Toc15396628"/>
      <w:bookmarkStart w:id="112" w:name="_Toc25895"/>
      <w:r>
        <w:rPr>
          <w:rStyle w:val="16"/>
          <w:rFonts w:hint="eastAsia" w:ascii="仿宋" w:hAnsi="仿宋" w:eastAsia="仿宋"/>
          <w:b w:val="0"/>
          <w:bCs w:val="0"/>
        </w:rPr>
        <w:t>十、</w:t>
      </w:r>
      <w:r>
        <w:rPr>
          <w:rFonts w:hint="eastAsia" w:ascii="仿宋" w:hAnsi="仿宋" w:eastAsia="仿宋"/>
          <w:b w:val="0"/>
          <w:color w:val="000000"/>
        </w:rPr>
        <w:t>一</w:t>
      </w:r>
      <w:r>
        <w:rPr>
          <w:rStyle w:val="16"/>
          <w:rFonts w:hint="eastAsia" w:ascii="仿宋" w:hAnsi="仿宋" w:eastAsia="仿宋"/>
          <w:b w:val="0"/>
          <w:bCs w:val="0"/>
        </w:rPr>
        <w:t>般公共预算财政拨款“三公”经费支出决算表</w:t>
      </w:r>
      <w:bookmarkEnd w:id="111"/>
      <w:bookmarkEnd w:id="112"/>
    </w:p>
    <w:p>
      <w:pPr>
        <w:pStyle w:val="3"/>
        <w:rPr>
          <w:rFonts w:ascii="仿宋" w:hAnsi="仿宋" w:eastAsia="仿宋"/>
          <w:color w:val="000000"/>
        </w:rPr>
      </w:pPr>
      <w:bookmarkStart w:id="113" w:name="_Toc15396629"/>
      <w:bookmarkStart w:id="114" w:name="_Toc13318"/>
      <w:r>
        <w:rPr>
          <w:rStyle w:val="16"/>
          <w:rFonts w:hint="eastAsia" w:ascii="仿宋" w:hAnsi="仿宋" w:eastAsia="仿宋"/>
          <w:b w:val="0"/>
          <w:bCs w:val="0"/>
        </w:rPr>
        <w:t>十一、</w:t>
      </w:r>
      <w:r>
        <w:rPr>
          <w:rFonts w:hint="eastAsia" w:ascii="仿宋" w:hAnsi="仿宋" w:eastAsia="仿宋"/>
          <w:b w:val="0"/>
          <w:color w:val="000000"/>
        </w:rPr>
        <w:t>政</w:t>
      </w:r>
      <w:r>
        <w:rPr>
          <w:rStyle w:val="16"/>
          <w:rFonts w:hint="eastAsia" w:ascii="仿宋" w:hAnsi="仿宋" w:eastAsia="仿宋"/>
          <w:b w:val="0"/>
          <w:bCs w:val="0"/>
        </w:rPr>
        <w:t>府性基金预算财政拨款收入支出决算表</w:t>
      </w:r>
      <w:bookmarkEnd w:id="113"/>
      <w:bookmarkEnd w:id="114"/>
    </w:p>
    <w:p>
      <w:pPr>
        <w:pStyle w:val="3"/>
        <w:rPr>
          <w:rFonts w:ascii="仿宋" w:hAnsi="仿宋" w:eastAsia="仿宋"/>
          <w:color w:val="000000"/>
        </w:rPr>
      </w:pPr>
      <w:bookmarkStart w:id="115" w:name="_Toc15396630"/>
      <w:bookmarkStart w:id="116" w:name="_Toc4431"/>
      <w:r>
        <w:rPr>
          <w:rStyle w:val="16"/>
          <w:rFonts w:hint="eastAsia" w:ascii="仿宋" w:hAnsi="仿宋" w:eastAsia="仿宋"/>
          <w:b w:val="0"/>
          <w:bCs w:val="0"/>
        </w:rPr>
        <w:t>十二、</w:t>
      </w:r>
      <w:r>
        <w:rPr>
          <w:rFonts w:hint="eastAsia" w:ascii="仿宋" w:hAnsi="仿宋" w:eastAsia="仿宋"/>
          <w:b w:val="0"/>
          <w:color w:val="000000"/>
        </w:rPr>
        <w:t>政</w:t>
      </w:r>
      <w:r>
        <w:rPr>
          <w:rStyle w:val="16"/>
          <w:rFonts w:hint="eastAsia" w:ascii="仿宋" w:hAnsi="仿宋" w:eastAsia="仿宋"/>
          <w:b w:val="0"/>
          <w:bCs w:val="0"/>
        </w:rPr>
        <w:t>府性基金预算财政拨款“三公”经费支出决算表</w:t>
      </w:r>
      <w:bookmarkEnd w:id="115"/>
      <w:bookmarkEnd w:id="116"/>
    </w:p>
    <w:p>
      <w:pPr>
        <w:pStyle w:val="3"/>
        <w:rPr>
          <w:rFonts w:ascii="仿宋" w:hAnsi="仿宋" w:eastAsia="仿宋"/>
          <w:color w:val="000000"/>
        </w:rPr>
      </w:pPr>
      <w:bookmarkStart w:id="117" w:name="_Toc15396631"/>
      <w:bookmarkStart w:id="118" w:name="_Toc25271"/>
      <w:r>
        <w:rPr>
          <w:rStyle w:val="16"/>
          <w:rFonts w:hint="eastAsia" w:ascii="仿宋" w:hAnsi="仿宋" w:eastAsia="仿宋"/>
          <w:b w:val="0"/>
          <w:bCs w:val="0"/>
        </w:rPr>
        <w:t>十三、</w:t>
      </w:r>
      <w:r>
        <w:rPr>
          <w:rFonts w:hint="eastAsia" w:ascii="仿宋" w:hAnsi="仿宋" w:eastAsia="仿宋"/>
          <w:b w:val="0"/>
          <w:color w:val="000000"/>
        </w:rPr>
        <w:t>国</w:t>
      </w:r>
      <w:r>
        <w:rPr>
          <w:rStyle w:val="16"/>
          <w:rFonts w:hint="eastAsia" w:ascii="仿宋" w:hAnsi="仿宋" w:eastAsia="仿宋"/>
          <w:b w:val="0"/>
          <w:bCs w:val="0"/>
        </w:rPr>
        <w:t>有资本经营预算财政拨款支出决算表</w:t>
      </w:r>
      <w:bookmarkEnd w:id="117"/>
      <w:bookmarkEnd w:id="118"/>
    </w:p>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3</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ECAA49"/>
    <w:multiLevelType w:val="singleLevel"/>
    <w:tmpl w:val="84ECAA49"/>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hMmVkMjZjM2Q2MGMxMzI1ZWRhN2EzMDNiNmI4Y2IifQ=="/>
  </w:docVars>
  <w:rsids>
    <w:rsidRoot w:val="00000000"/>
    <w:rsid w:val="07E13411"/>
    <w:rsid w:val="12191388"/>
    <w:rsid w:val="1D47625B"/>
    <w:rsid w:val="209E6873"/>
    <w:rsid w:val="21211082"/>
    <w:rsid w:val="31764EA7"/>
    <w:rsid w:val="3CE14CCA"/>
    <w:rsid w:val="56E14D46"/>
    <w:rsid w:val="58323AAD"/>
    <w:rsid w:val="5D016AEA"/>
    <w:rsid w:val="5D4E2215"/>
    <w:rsid w:val="61B82E8C"/>
    <w:rsid w:val="65685FF0"/>
    <w:rsid w:val="664B086E"/>
    <w:rsid w:val="697C2E5E"/>
    <w:rsid w:val="728078ED"/>
    <w:rsid w:val="7D241574"/>
    <w:rsid w:val="7DC73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Cambria" w:hAnsi="Cambria"/>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24"/>
      <w:szCs w:val="20"/>
    </w:rPr>
  </w:style>
  <w:style w:type="paragraph" w:styleId="5">
    <w:name w:val="toc 3"/>
    <w:basedOn w:val="1"/>
    <w:next w:val="1"/>
    <w:qFormat/>
    <w:uiPriority w:val="0"/>
    <w:pPr>
      <w:ind w:left="840" w:leftChars="400"/>
    </w:pPr>
  </w:style>
  <w:style w:type="paragraph" w:styleId="6">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7">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99"/>
    <w:rPr>
      <w:rFonts w:cs="Times New Roman"/>
      <w:b/>
    </w:rPr>
  </w:style>
  <w:style w:type="character" w:styleId="14">
    <w:name w:val="Hyperlink"/>
    <w:basedOn w:val="12"/>
    <w:unhideWhenUsed/>
    <w:qFormat/>
    <w:uiPriority w:val="99"/>
    <w:rPr>
      <w:rFonts w:cs="Times New Roman"/>
      <w:color w:val="0000FF"/>
      <w:u w:val="single"/>
    </w:rPr>
  </w:style>
  <w:style w:type="character" w:customStyle="1" w:styleId="15">
    <w:name w:val=" Char Char6"/>
    <w:basedOn w:val="12"/>
    <w:link w:val="2"/>
    <w:qFormat/>
    <w:locked/>
    <w:uiPriority w:val="9"/>
    <w:rPr>
      <w:b/>
      <w:bCs/>
      <w:kern w:val="44"/>
      <w:sz w:val="44"/>
      <w:szCs w:val="44"/>
    </w:rPr>
  </w:style>
  <w:style w:type="character" w:customStyle="1" w:styleId="16">
    <w:name w:val=" Char Char5"/>
    <w:basedOn w:val="12"/>
    <w:link w:val="3"/>
    <w:qFormat/>
    <w:locked/>
    <w:uiPriority w:val="9"/>
    <w:rPr>
      <w:rFonts w:ascii="Cambria" w:hAnsi="Cambria"/>
      <w:b/>
      <w:bCs/>
      <w:sz w:val="32"/>
      <w:szCs w:val="32"/>
    </w:rPr>
  </w:style>
  <w:style w:type="paragraph" w:customStyle="1" w:styleId="17">
    <w:name w:val="List Paragraph"/>
    <w:basedOn w:val="1"/>
    <w:qFormat/>
    <w:uiPriority w:val="34"/>
    <w:pPr>
      <w:ind w:firstLine="420" w:firstLineChars="200"/>
    </w:pPr>
  </w:style>
  <w:style w:type="paragraph" w:customStyle="1" w:styleId="1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9">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t>收、支决算总计变动图</a:t>
            </a:r>
          </a:p>
        </c:rich>
      </c:tx>
      <c:layout>
        <c:manualLayout>
          <c:xMode val="edge"/>
          <c:yMode val="edge"/>
          <c:x val="0.199399141630901"/>
          <c:y val="0.0285442435775452"/>
        </c:manualLayout>
      </c:layout>
      <c:overlay val="0"/>
      <c:spPr>
        <a:noFill/>
        <a:ln>
          <a:noFill/>
        </a:ln>
        <a:effectLst/>
      </c:spPr>
    </c:title>
    <c:autoTitleDeleted val="0"/>
    <c:plotArea>
      <c:layout>
        <c:manualLayout>
          <c:layoutTarget val="inner"/>
          <c:xMode val="edge"/>
          <c:yMode val="edge"/>
          <c:x val="0.140703862660944"/>
          <c:y val="0.332381858547415"/>
          <c:w val="0.854145922746781"/>
          <c:h val="0.574500475737393"/>
        </c:manualLayout>
      </c:layout>
      <c:barChart>
        <c:barDir val="col"/>
        <c:grouping val="clustered"/>
        <c:varyColors val="0"/>
        <c:ser>
          <c:idx val="0"/>
          <c:order val="0"/>
          <c:tx>
            <c:strRef>
              <c:f>Sheet1!$B$1</c:f>
              <c:strCache>
                <c:ptCount val="1"/>
                <c:pt idx="0">
                  <c:v>收、支决算总计变动情况图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explosion val="0"/>
          </c:dPt>
          <c:dPt>
            <c:idx val="1"/>
            <c:invertIfNegative val="0"/>
            <c:bubble3D val="0"/>
            <c:explosion val="7"/>
          </c:dPt>
          <c:dPt>
            <c:idx val="2"/>
            <c:invertIfNegative val="0"/>
            <c:bubble3D val="0"/>
            <c:explosion val="13"/>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lumMod val="85000"/>
                      </a:schemeClr>
                    </a:solidFill>
                    <a:latin typeface="+mn-lt"/>
                    <a:ea typeface="+mn-ea"/>
                    <a:cs typeface="+mn-cs"/>
                  </a:defRPr>
                </a:pPr>
              </a:p>
            </c:txPr>
            <c:dLblPos val="ctr"/>
            <c:showLegendKey val="0"/>
            <c:showVal val="1"/>
            <c:showCatName val="0"/>
            <c:showSerName val="0"/>
            <c:showPercent val="1"/>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Sheet1!$A$2:$A$5</c:f>
              <c:strCache>
                <c:ptCount val="4"/>
                <c:pt idx="0">
                  <c:v>2019年度</c:v>
                </c:pt>
                <c:pt idx="1">
                  <c:v>2020年度</c:v>
                </c:pt>
              </c:strCache>
            </c:strRef>
          </c:cat>
          <c:val>
            <c:numRef>
              <c:f>Sheet1!$B$2:$B$5</c:f>
              <c:numCache>
                <c:formatCode>General</c:formatCode>
                <c:ptCount val="4"/>
                <c:pt idx="0">
                  <c:v>2501.41</c:v>
                </c:pt>
                <c:pt idx="1">
                  <c:v>3077.58</c:v>
                </c:pt>
              </c:numCache>
            </c:numRef>
          </c:val>
        </c:ser>
        <c:dLbls>
          <c:showLegendKey val="0"/>
          <c:showVal val="1"/>
          <c:showCatName val="0"/>
          <c:showSerName val="0"/>
          <c:showPercent val="1"/>
          <c:showBubbleSize val="0"/>
        </c:dLbls>
        <c:gapWidth val="100"/>
        <c:overlap val="-24"/>
        <c:axId val="568783503"/>
        <c:axId val="48304088"/>
      </c:barChart>
      <c:catAx>
        <c:axId val="568783503"/>
        <c:scaling>
          <c:orientation val="minMax"/>
        </c:scaling>
        <c:delete val="0"/>
        <c:axPos val="b"/>
        <c:majorTickMark val="out"/>
        <c:minorTickMark val="none"/>
        <c:tickLblPos val="nextTo"/>
        <c:spPr>
          <a:noFill/>
          <a:ln w="12700" cap="flat" cmpd="sng" algn="ctr">
            <a:solidFill>
              <a:schemeClr val="lt1">
                <a:lumMod val="95000"/>
                <a:alpha val="54000"/>
              </a:schemeClr>
            </a:solidFill>
            <a:round/>
          </a:ln>
          <a:effectLst/>
        </c:spPr>
        <c:txPr>
          <a:bodyPr rot="-6000000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crossAx val="48304088"/>
        <c:crosses val="autoZero"/>
        <c:auto val="1"/>
        <c:lblAlgn val="ctr"/>
        <c:lblOffset val="100"/>
        <c:noMultiLvlLbl val="0"/>
      </c:catAx>
      <c:valAx>
        <c:axId val="4830408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crossAx val="568783503"/>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a:ln>
      <a:noFill/>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14701</Words>
  <Characters>15704</Characters>
  <Lines>0</Lines>
  <Paragraphs>0</Paragraphs>
  <TotalTime>7</TotalTime>
  <ScaleCrop>false</ScaleCrop>
  <LinksUpToDate>false</LinksUpToDate>
  <CharactersWithSpaces>15865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2021-09-06T09:27:00Z</dcterms:created>
  <dc:creator>Administrator</dc:creator>
  <cp:lastModifiedBy>罗钦文</cp:lastModifiedBy>
  <dcterms:modified xsi:type="dcterms:W3CDTF">2022-08-10T10:57:45Z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39A1ADFF8F6A4A00806F89685FE49E6D</vt:lpwstr>
  </property>
</Properties>
</file>